
<file path=[Content_Types].xml><?xml version="1.0" encoding="utf-8"?>
<Types xmlns="http://schemas.openxmlformats.org/package/2006/content-types">
  <Default Extension="xml" ContentType="application/xml"/>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9"/>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pPr>
              <w:pStyle w:val="19"/>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29.120.01</w:t>
            </w:r>
            <w:r>
              <w:rPr>
                <w:rFonts w:ascii="黑体" w:hAnsi="黑体" w:eastAsia="黑体"/>
                <w:sz w:val="21"/>
                <w:szCs w:val="21"/>
              </w:rPr>
              <w:fldChar w:fldCharType="end"/>
            </w:r>
            <w:bookmarkEnd w:id="0"/>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9"/>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113" w:type="dxa"/>
                </w:tblCellMar>
              </w:tblPrEx>
              <w:trPr>
                <w:trHeight w:val="1021" w:hRule="exact"/>
              </w:trPr>
              <w:tc>
                <w:tcPr>
                  <w:tcW w:w="9242" w:type="dxa"/>
                  <w:vAlign w:val="center"/>
                </w:tcPr>
                <w:p>
                  <w:pPr>
                    <w:pStyle w:val="53"/>
                    <w:framePr w:wrap="notBeside" w:vAnchor="page" w:hAnchor="page" w:x="1372" w:y="568"/>
                    <w:ind w:left="420" w:right="624"/>
                    <w:rPr>
                      <w:rFonts w:ascii="宋体" w:hAnsi="宋体"/>
                      <w:sz w:val="28"/>
                      <w:szCs w:val="28"/>
                    </w:rPr>
                  </w:pPr>
                  <w:r>
                    <w:rPr>
                      <w:sz w:val="21"/>
                      <w:szCs w:val="21"/>
                    </w:rPr>
                    <w:t xml:space="preserve"> </w:t>
                  </w:r>
                </w:p>
              </w:tc>
            </w:tr>
          </w:tbl>
          <w:p>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K46</w:t>
            </w:r>
          </w:p>
          <w:p>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end"/>
            </w:r>
            <w:bookmarkEnd w:id="1"/>
          </w:p>
        </w:tc>
      </w:tr>
    </w:tbl>
    <w:p>
      <w:pPr>
        <w:pStyle w:val="199"/>
        <w:framePr w:w="9354" w:wrap="around" w:x="1430" w:y="3471"/>
      </w:pPr>
      <w:r>
        <w:t>T/</w:t>
      </w:r>
      <w:r>
        <w:fldChar w:fldCharType="begin">
          <w:ffData>
            <w:name w:val="文字1"/>
            <w:enabled/>
            <w:calcOnExit w:val="0"/>
            <w:textInput>
              <w:default w:val="XXX"/>
            </w:textInput>
          </w:ffData>
        </w:fldChar>
      </w:r>
      <w:bookmarkStart w:id="2" w:name="文字1"/>
      <w:r>
        <w:instrText xml:space="preserve"> FORMTEXT </w:instrText>
      </w:r>
      <w:r>
        <w:fldChar w:fldCharType="separate"/>
      </w:r>
      <w:r>
        <w:t>CPIA</w:t>
      </w:r>
      <w:r>
        <w:fldChar w:fldCharType="end"/>
      </w:r>
      <w:bookmarkEnd w:id="2"/>
      <w:r>
        <w:t xml:space="preserve"> </w:t>
      </w:r>
      <w:r>
        <w:fldChar w:fldCharType="begin">
          <w:ffData>
            <w:name w:val="NSTD_CODE_F"/>
            <w:enabled/>
            <w:calcOnExit w:val="0"/>
            <w:textInput>
              <w:default w:val="XXXX"/>
            </w:textInput>
          </w:ffData>
        </w:fldChar>
      </w:r>
      <w:bookmarkStart w:id="3" w:name="NSTD_CODE_F"/>
      <w:r>
        <w:instrText xml:space="preserve"> FORMTEXT </w:instrText>
      </w:r>
      <w:r>
        <w:fldChar w:fldCharType="separate"/>
      </w:r>
      <w:r>
        <w:t>XXXX</w:t>
      </w:r>
      <w:r>
        <w:fldChar w:fldCharType="end"/>
      </w:r>
      <w:bookmarkEnd w:id="3"/>
      <w:r>
        <w:rPr>
          <w:rFonts w:hAnsi="黑体"/>
        </w:rPr>
        <w:t>—</w:t>
      </w:r>
      <w:bookmarkStart w:id="4" w:name="NSTD_CODE_B"/>
      <w:r>
        <w:fldChar w:fldCharType="begin">
          <w:ffData>
            <w:name w:val="NSTD_CODE_B"/>
            <w:enabled/>
            <w:calcOnExit w:val="0"/>
            <w:textInput>
              <w:default w:val="202X"/>
            </w:textInput>
          </w:ffData>
        </w:fldChar>
      </w:r>
      <w:r>
        <w:instrText xml:space="preserve">FORMTEXT</w:instrText>
      </w:r>
      <w:r>
        <w:fldChar w:fldCharType="separate"/>
      </w:r>
      <w:r>
        <w:t>202X</w:t>
      </w:r>
      <w:r>
        <w:fldChar w:fldCharType="end"/>
      </w:r>
      <w:bookmarkEnd w:id="4"/>
    </w:p>
    <w:p>
      <w:pPr>
        <w:pStyle w:val="199"/>
        <w:framePr w:w="9354" w:wrap="around" w:x="1430" w:y="3471"/>
        <w:spacing w:before="357"/>
      </w:pPr>
    </w:p>
    <w:p>
      <w:pPr>
        <w:pStyle w:val="200"/>
        <w:framePr w:w="9354" w:wrap="around" w:x="1430" w:y="3471"/>
        <w:spacing w:before="357"/>
        <w:rPr>
          <w:rFonts w:hAnsi="黑体"/>
        </w:rPr>
      </w:pPr>
      <w:r>
        <w:rPr>
          <w:rFonts w:hAnsi="黑体"/>
        </w:rPr>
        <w:fldChar w:fldCharType="begin">
          <w:ffData>
            <w:name w:val="OSTD_CODE"/>
            <w:enabled/>
            <w:calcOnExit w:val="0"/>
            <w:textInput/>
          </w:ffData>
        </w:fldChar>
      </w:r>
      <w:bookmarkStart w:id="5"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5"/>
    </w:p>
    <w:p>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pPr>
        <w:pStyle w:val="54"/>
        <w:framePr w:w="9639" w:h="6976" w:hRule="exact" w:hSpace="0" w:vSpace="0" w:wrap="around" w:hAnchor="page" w:y="6408"/>
        <w:jc w:val="center"/>
        <w:rPr>
          <w:rFonts w:ascii="黑体" w:hAnsi="黑体" w:eastAsia="黑体"/>
          <w:b w:val="0"/>
          <w:bCs w:val="0"/>
          <w:w w:val="100"/>
        </w:rPr>
      </w:pPr>
    </w:p>
    <w:p>
      <w:pPr>
        <w:pStyle w:val="201"/>
        <w:framePr w:h="6974" w:hRule="exact" w:wrap="around" w:x="1419" w:anchorLock="1"/>
      </w:pPr>
      <w:bookmarkStart w:id="6" w:name="CSTD_NAME"/>
      <w:r>
        <w:fldChar w:fldCharType="begin">
          <w:ffData>
            <w:name w:val="CSTD_NAME"/>
            <w:enabled/>
            <w:calcOnExit w:val="0"/>
            <w:textInput>
              <w:default w:val="晶体硅光伏电池 第2部分：异质结光伏电池"/>
            </w:textInput>
          </w:ffData>
        </w:fldChar>
      </w:r>
      <w:r>
        <w:instrText xml:space="preserve">FORMTEXT</w:instrText>
      </w:r>
      <w:r>
        <w:fldChar w:fldCharType="separate"/>
      </w:r>
      <w:r>
        <w:t xml:space="preserve">晶体硅光伏电池 </w:t>
      </w:r>
    </w:p>
    <w:p>
      <w:pPr>
        <w:pStyle w:val="201"/>
        <w:framePr w:h="6974" w:hRule="exact" w:wrap="around" w:x="1419" w:anchorLock="1"/>
      </w:pPr>
      <w:r>
        <w:t>第2部分：异质结光伏电池</w:t>
      </w:r>
      <w:r>
        <w:fldChar w:fldCharType="end"/>
      </w:r>
      <w:bookmarkEnd w:id="6"/>
    </w:p>
    <w:p>
      <w:pPr>
        <w:framePr w:w="9639" w:h="6974" w:hRule="exact" w:wrap="around" w:vAnchor="page" w:hAnchor="page" w:x="1419" w:y="6408" w:anchorLock="1"/>
        <w:ind w:left="-1418"/>
        <w:rPr>
          <w:rFonts w:ascii="黑体" w:hAnsi="黑体" w:eastAsia="黑体" w:cs="黑体"/>
        </w:rPr>
      </w:pPr>
    </w:p>
    <w:p>
      <w:pPr>
        <w:pStyle w:val="129"/>
        <w:framePr w:w="9639" w:h="6974" w:hRule="exact" w:wrap="around" w:vAnchor="page" w:hAnchor="page" w:x="1419" w:y="6408" w:anchorLock="1"/>
        <w:textAlignment w:val="bottom"/>
        <w:rPr>
          <w:rFonts w:ascii="黑体" w:hAnsi="黑体" w:eastAsia="黑体" w:cs="黑体"/>
          <w:szCs w:val="28"/>
        </w:rPr>
      </w:pPr>
      <w:bookmarkStart w:id="7" w:name="ESTD_NAME"/>
      <w:r>
        <w:rPr>
          <w:rFonts w:hint="eastAsia" w:ascii="黑体" w:hAnsi="黑体" w:eastAsia="黑体" w:cs="黑体"/>
          <w:szCs w:val="28"/>
        </w:rPr>
        <w:fldChar w:fldCharType="begin">
          <w:ffData>
            <w:name w:val="ESTD_NAME"/>
            <w:enabled/>
            <w:calcOnExit w:val="0"/>
            <w:textInput>
              <w:default w:val="Crystalline silicon solar cell–Part 2：heterojunction solar cell"/>
            </w:textInput>
          </w:ffData>
        </w:fldChar>
      </w:r>
      <w:r>
        <w:rPr>
          <w:rFonts w:hint="eastAsia" w:ascii="黑体" w:hAnsi="黑体" w:eastAsia="黑体" w:cs="黑体"/>
          <w:szCs w:val="28"/>
        </w:rPr>
        <w:instrText xml:space="preserve">FORMTEXT</w:instrText>
      </w:r>
      <w:r>
        <w:rPr>
          <w:rFonts w:hint="eastAsia" w:ascii="黑体" w:hAnsi="黑体" w:eastAsia="黑体" w:cs="黑体"/>
          <w:szCs w:val="28"/>
        </w:rPr>
        <w:fldChar w:fldCharType="separate"/>
      </w:r>
      <w:r>
        <w:rPr>
          <w:rFonts w:hint="eastAsia" w:ascii="黑体" w:hAnsi="黑体" w:eastAsia="黑体" w:cs="黑体"/>
          <w:szCs w:val="28"/>
        </w:rPr>
        <w:t>Crystalline silicon solar cell–</w:t>
      </w:r>
    </w:p>
    <w:p>
      <w:pPr>
        <w:pStyle w:val="129"/>
        <w:framePr w:w="9639" w:h="6974" w:hRule="exact" w:wrap="around" w:vAnchor="page" w:hAnchor="page" w:x="1419" w:y="6408" w:anchorLock="1"/>
        <w:textAlignment w:val="bottom"/>
        <w:rPr>
          <w:rFonts w:ascii="黑体" w:hAnsi="黑体" w:eastAsia="黑体" w:cs="黑体"/>
          <w:szCs w:val="28"/>
        </w:rPr>
      </w:pPr>
      <w:r>
        <w:rPr>
          <w:rFonts w:hint="eastAsia" w:ascii="黑体" w:hAnsi="黑体" w:eastAsia="黑体" w:cs="黑体"/>
          <w:szCs w:val="28"/>
        </w:rPr>
        <w:t>Part 2：heterojunction solar cell</w:t>
      </w:r>
      <w:r>
        <w:rPr>
          <w:rFonts w:hint="eastAsia" w:ascii="黑体" w:hAnsi="黑体" w:eastAsia="黑体" w:cs="黑体"/>
          <w:szCs w:val="28"/>
        </w:rPr>
        <w:fldChar w:fldCharType="end"/>
      </w:r>
      <w:bookmarkEnd w:id="7"/>
    </w:p>
    <w:p>
      <w:pPr>
        <w:framePr w:w="9639" w:h="6974" w:hRule="exact" w:wrap="around" w:vAnchor="page" w:hAnchor="page" w:x="1419" w:y="6408" w:anchorLock="1"/>
        <w:spacing w:line="760" w:lineRule="exact"/>
        <w:ind w:left="-1418"/>
      </w:pPr>
    </w:p>
    <w:p>
      <w:pPr>
        <w:pStyle w:val="129"/>
        <w:framePr w:w="9639" w:h="6974" w:hRule="exact" w:wrap="around" w:vAnchor="page" w:hAnchor="page" w:x="1419" w:y="6408" w:anchorLock="1"/>
        <w:textAlignment w:val="bottom"/>
        <w:rPr>
          <w:rFonts w:eastAsia="黑体"/>
          <w:szCs w:val="28"/>
        </w:rPr>
      </w:pPr>
    </w:p>
    <w:p>
      <w:pPr>
        <w:pStyle w:val="129"/>
        <w:framePr w:w="9639" w:h="6974" w:hRule="exact" w:wrap="around" w:vAnchor="page" w:hAnchor="page" w:x="1419" w:y="6408" w:anchorLock="1"/>
        <w:spacing w:before="440" w:after="160"/>
        <w:textAlignment w:val="bottom"/>
        <w:rPr>
          <w:sz w:val="24"/>
          <w:szCs w:val="28"/>
        </w:rPr>
      </w:pPr>
      <w:r>
        <w:rPr>
          <w:rFonts w:hint="eastAsia"/>
          <w:sz w:val="24"/>
          <w:szCs w:val="28"/>
        </w:rPr>
        <w:t>（</w:t>
      </w:r>
      <w:r>
        <w:rPr>
          <w:rFonts w:hint="eastAsia"/>
          <w:sz w:val="24"/>
          <w:szCs w:val="28"/>
          <w:lang w:val="en-US" w:eastAsia="zh-CN"/>
        </w:rPr>
        <w:t>征求意见稿</w:t>
      </w:r>
      <w:r>
        <w:rPr>
          <w:rFonts w:hint="eastAsia"/>
          <w:sz w:val="24"/>
          <w:szCs w:val="28"/>
        </w:rPr>
        <w:t>）</w:t>
      </w:r>
    </w:p>
    <w:p>
      <w:pPr>
        <w:pStyle w:val="129"/>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8"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8"/>
    </w:p>
    <w:p>
      <w:pPr>
        <w:pStyle w:val="129"/>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9" w:name="下拉2"/>
      <w:r>
        <w:rPr>
          <w:b/>
          <w:sz w:val="21"/>
          <w:szCs w:val="28"/>
        </w:rPr>
        <w:instrText xml:space="preserve"> FORMDROPDOWN </w:instrText>
      </w:r>
      <w:r>
        <w:rPr>
          <w:b/>
          <w:sz w:val="21"/>
          <w:szCs w:val="28"/>
        </w:rPr>
        <w:fldChar w:fldCharType="separate"/>
      </w:r>
      <w:r>
        <w:rPr>
          <w:b/>
          <w:sz w:val="21"/>
          <w:szCs w:val="28"/>
        </w:rPr>
        <w:fldChar w:fldCharType="end"/>
      </w:r>
      <w:bookmarkEnd w:id="9"/>
    </w:p>
    <w:p>
      <w:pPr>
        <w:pStyle w:val="197"/>
        <w:framePr w:wrap="around" w:y="14176"/>
      </w:pPr>
      <w:r>
        <w:rPr>
          <w:rFonts w:ascii="黑体"/>
        </w:rPr>
        <w:fldChar w:fldCharType="begin">
          <w:ffData>
            <w:name w:val="PLSH_DATE_Y"/>
            <w:enabled/>
            <w:calcOnExit w:val="0"/>
            <w:textInput>
              <w:default w:val="XXXX"/>
              <w:maxLength w:val="4"/>
            </w:textInput>
          </w:ffData>
        </w:fldChar>
      </w:r>
      <w:bookmarkStart w:id="10" w:name="PLSH_DATE_Y"/>
      <w:r>
        <w:rPr>
          <w:rFonts w:ascii="黑体"/>
        </w:rPr>
        <w:instrText xml:space="preserve"> FORMTEXT </w:instrText>
      </w:r>
      <w:r>
        <w:rPr>
          <w:rFonts w:ascii="黑体"/>
        </w:rPr>
        <w:fldChar w:fldCharType="separate"/>
      </w:r>
      <w:r>
        <w:rPr>
          <w:rFonts w:ascii="黑体"/>
        </w:rPr>
        <w:t>2023</w:t>
      </w:r>
      <w:r>
        <w:rPr>
          <w:rFonts w:ascii="黑体"/>
        </w:rPr>
        <w:fldChar w:fldCharType="end"/>
      </w:r>
      <w:bookmarkEnd w:id="10"/>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1"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1"/>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2"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2"/>
      <w:r>
        <w:rPr>
          <w:rFonts w:hint="eastAsia"/>
        </w:rPr>
        <w:t>发布</w:t>
      </w:r>
    </w:p>
    <w:p>
      <w:pPr>
        <w:pStyle w:val="198"/>
        <w:framePr w:wrap="around" w:y="14176"/>
      </w:pPr>
      <w:r>
        <w:rPr>
          <w:rFonts w:ascii="黑体"/>
        </w:rPr>
        <w:fldChar w:fldCharType="begin">
          <w:ffData>
            <w:name w:val="CROT_DATE_Y"/>
            <w:enabled/>
            <w:calcOnExit w:val="0"/>
            <w:textInput>
              <w:default w:val="XXXX"/>
              <w:maxLength w:val="4"/>
            </w:textInput>
          </w:ffData>
        </w:fldChar>
      </w:r>
      <w:bookmarkStart w:id="13" w:name="CROT_DATE_Y"/>
      <w:r>
        <w:rPr>
          <w:rFonts w:ascii="黑体"/>
        </w:rPr>
        <w:instrText xml:space="preserve"> FORMTEXT </w:instrText>
      </w:r>
      <w:r>
        <w:rPr>
          <w:rFonts w:ascii="黑体"/>
        </w:rPr>
        <w:fldChar w:fldCharType="separate"/>
      </w:r>
      <w:r>
        <w:rPr>
          <w:rFonts w:ascii="黑体"/>
        </w:rPr>
        <w:t>2023</w:t>
      </w:r>
      <w:r>
        <w:rPr>
          <w:rFonts w:ascii="黑体"/>
        </w:rPr>
        <w:fldChar w:fldCharType="end"/>
      </w:r>
      <w:bookmarkEnd w:id="13"/>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4"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5"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rPr>
          <w:rFonts w:hint="eastAsia"/>
        </w:rPr>
        <w:t>实施</w:t>
      </w:r>
    </w:p>
    <w:p>
      <w:pPr>
        <w:pStyle w:val="155"/>
        <w:framePr w:h="584" w:hRule="exact" w:hSpace="181" w:vSpace="181" w:wrap="around" w:y="14800"/>
        <w:rPr>
          <w:rFonts w:hAnsi="黑体"/>
        </w:rPr>
      </w:pPr>
      <w:r>
        <w:rPr>
          <w:rFonts w:hAnsi="黑体"/>
          <w:w w:val="100"/>
          <w:sz w:val="28"/>
        </w:rPr>
        <w:fldChar w:fldCharType="begin">
          <w:ffData>
            <w:name w:val="fm"/>
            <w:enabled/>
            <w:calcOnExit w:val="0"/>
            <w:textInput/>
          </w:ffData>
        </w:fldChar>
      </w:r>
      <w:bookmarkStart w:id="16" w:name="fm"/>
      <w:r>
        <w:rPr>
          <w:rFonts w:hAnsi="黑体"/>
          <w:w w:val="100"/>
          <w:sz w:val="28"/>
        </w:rPr>
        <w:instrText xml:space="preserve"> FORMTEXT </w:instrText>
      </w:r>
      <w:r>
        <w:rPr>
          <w:rFonts w:hAnsi="黑体"/>
          <w:w w:val="100"/>
          <w:sz w:val="28"/>
        </w:rPr>
        <w:fldChar w:fldCharType="separate"/>
      </w:r>
      <w:r>
        <w:rPr>
          <w:rFonts w:hint="eastAsia" w:hAnsi="黑体"/>
          <w:w w:val="100"/>
          <w:sz w:val="28"/>
        </w:rPr>
        <w:t>中国光伏行业协会</w:t>
      </w:r>
      <w:r>
        <w:rPr>
          <w:rFonts w:hAnsi="黑体"/>
          <w:w w:val="100"/>
          <w:sz w:val="28"/>
        </w:rPr>
        <w:fldChar w:fldCharType="end"/>
      </w:r>
      <w:bookmarkEnd w:id="16"/>
      <w:r>
        <w:rPr>
          <w:rFonts w:ascii="Times New Roman"/>
          <w:w w:val="100"/>
          <w:sz w:val="28"/>
        </w:rPr>
        <w:t>  </w:t>
      </w:r>
      <w:r>
        <w:rPr>
          <w:rStyle w:val="233"/>
          <w:rFonts w:hint="eastAsia" w:hAnsi="黑体"/>
          <w:position w:val="0"/>
        </w:rPr>
        <w:t>发</w:t>
      </w:r>
      <w:r>
        <w:rPr>
          <w:rStyle w:val="233"/>
          <w:rFonts w:hint="eastAsia" w:hAnsi="黑体"/>
          <w:spacing w:val="0"/>
          <w:position w:val="0"/>
        </w:rPr>
        <w:t>布</w:t>
      </w:r>
    </w:p>
    <w:p>
      <w:pPr>
        <w:framePr w:w="9638" w:h="1054" w:hSpace="181" w:vSpace="181" w:wrap="around" w:vAnchor="page" w:hAnchor="page" w:x="1305" w:y="2269"/>
        <w:spacing w:line="240" w:lineRule="auto"/>
        <w:ind w:right="817" w:rightChars="389"/>
        <w:jc w:val="distribute"/>
        <w:rPr>
          <w:rFonts w:ascii="宋体" w:hAnsi="宋体"/>
          <w:sz w:val="28"/>
          <w:szCs w:val="28"/>
        </w:rPr>
      </w:pPr>
      <w:r>
        <w:rPr>
          <w:rFonts w:hint="eastAsia" w:ascii="黑体" w:hAnsi="宋体" w:eastAsia="黑体"/>
          <w:spacing w:val="-40"/>
          <w:sz w:val="84"/>
          <w:szCs w:val="84"/>
        </w:rPr>
        <w:t xml:space="preserve"> 团体标</w:t>
      </w:r>
      <w:r>
        <w:rPr>
          <w:rFonts w:hint="eastAsia" w:ascii="Times New Roman" w:hAnsi="Times New Roman" w:eastAsia="黑体"/>
          <w:spacing w:val="-40"/>
          <w:sz w:val="84"/>
          <w:szCs w:val="84"/>
        </w:rPr>
        <w:t xml:space="preserve">准 </w:t>
      </w:r>
    </w:p>
    <w:p>
      <w:pPr>
        <w:rPr>
          <w:rFonts w:ascii="宋体" w:hAnsi="宋体"/>
          <w:sz w:val="28"/>
          <w:szCs w:val="28"/>
        </w:rPr>
        <w:sectPr>
          <w:headerReference r:id="rId7" w:type="first"/>
          <w:footerReference r:id="rId9" w:type="first"/>
          <w:headerReference r:id="rId5" w:type="default"/>
          <w:headerReference r:id="rId6" w:type="even"/>
          <w:footerReference r:id="rId8"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pPr>
        <w:pStyle w:val="95"/>
        <w:spacing w:after="360"/>
      </w:pPr>
      <w:bookmarkStart w:id="17" w:name="BookMark1"/>
      <w:bookmarkStart w:id="18" w:name="_Toc131168571"/>
      <w:bookmarkStart w:id="19" w:name="_Toc131168482"/>
      <w:bookmarkStart w:id="20" w:name="_Toc137224779"/>
      <w:r>
        <w:rPr>
          <w:rFonts w:hint="eastAsia"/>
          <w:spacing w:val="320"/>
        </w:rPr>
        <w:t>目</w:t>
      </w:r>
      <w:r>
        <w:rPr>
          <w:rFonts w:hint="eastAsia"/>
        </w:rPr>
        <w:t>次</w:t>
      </w:r>
    </w:p>
    <w:p>
      <w:pPr>
        <w:pStyle w:val="20"/>
        <w:tabs>
          <w:tab w:val="right" w:leader="dot" w:pos="9344"/>
        </w:tabs>
        <w:rPr>
          <w:rFonts w:asciiTheme="minorHAnsi" w:hAnsiTheme="minorHAnsi" w:eastAsiaTheme="minorEastAsia" w:cstheme="minorBidi"/>
          <w:szCs w:val="22"/>
        </w:rPr>
      </w:pPr>
      <w:r>
        <w:fldChar w:fldCharType="begin"/>
      </w:r>
      <w:r>
        <w:instrText xml:space="preserve"> TOC \o "1-1" \h \t "标准文件_一级条标题,2,标准文件_附录一级条标题,2," </w:instrText>
      </w:r>
      <w:r>
        <w:fldChar w:fldCharType="separate"/>
      </w:r>
      <w:r>
        <w:fldChar w:fldCharType="begin"/>
      </w:r>
      <w:r>
        <w:instrText xml:space="preserve"> HYPERLINK \l "_Toc147679091" </w:instrText>
      </w:r>
      <w:r>
        <w:fldChar w:fldCharType="separate"/>
      </w:r>
      <w:r>
        <w:rPr>
          <w:rStyle w:val="35"/>
        </w:rPr>
        <w:t>前言</w:t>
      </w:r>
      <w:r>
        <w:tab/>
      </w:r>
      <w:r>
        <w:fldChar w:fldCharType="begin"/>
      </w:r>
      <w:r>
        <w:instrText xml:space="preserve"> PAGEREF _Toc147679091 \h </w:instrText>
      </w:r>
      <w:r>
        <w:fldChar w:fldCharType="separate"/>
      </w:r>
      <w:r>
        <w:t>II</w:t>
      </w:r>
      <w:r>
        <w:fldChar w:fldCharType="end"/>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"_Toc147679092" </w:instrText>
      </w:r>
      <w:r>
        <w:fldChar w:fldCharType="separate"/>
      </w:r>
      <w:r>
        <w:rPr>
          <w:rStyle w:val="35"/>
        </w:rPr>
        <w:t>引言</w:t>
      </w:r>
      <w:r>
        <w:tab/>
      </w:r>
      <w:r>
        <w:fldChar w:fldCharType="begin"/>
      </w:r>
      <w:r>
        <w:instrText xml:space="preserve"> PAGEREF _Toc147679092 \h </w:instrText>
      </w:r>
      <w:r>
        <w:fldChar w:fldCharType="separate"/>
      </w:r>
      <w:r>
        <w:t>III</w:t>
      </w:r>
      <w:r>
        <w:fldChar w:fldCharType="end"/>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"_Toc147679093" </w:instrText>
      </w:r>
      <w:r>
        <w:fldChar w:fldCharType="separate"/>
      </w:r>
      <w:r>
        <w:rPr>
          <w:rStyle w:val="35"/>
          <w:rFonts w:hAnsi="黑体"/>
        </w:rPr>
        <w:t>1  范围</w:t>
      </w:r>
      <w:r>
        <w:tab/>
      </w:r>
      <w:r>
        <w:fldChar w:fldCharType="begin"/>
      </w:r>
      <w:r>
        <w:instrText xml:space="preserve"> PAGEREF _Toc147679093 \h </w:instrText>
      </w:r>
      <w:r>
        <w:fldChar w:fldCharType="separate"/>
      </w:r>
      <w:r>
        <w:t>1</w:t>
      </w:r>
      <w:r>
        <w:fldChar w:fldCharType="end"/>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"_Toc147679094" </w:instrText>
      </w:r>
      <w:r>
        <w:fldChar w:fldCharType="separate"/>
      </w:r>
      <w:r>
        <w:rPr>
          <w:rStyle w:val="35"/>
          <w:rFonts w:hAnsi="黑体"/>
        </w:rPr>
        <w:t>2  规范性引用文件</w:t>
      </w:r>
      <w:r>
        <w:tab/>
      </w:r>
      <w:r>
        <w:fldChar w:fldCharType="begin"/>
      </w:r>
      <w:r>
        <w:instrText xml:space="preserve"> PAGEREF _Toc147679094 \h </w:instrText>
      </w:r>
      <w:r>
        <w:fldChar w:fldCharType="separate"/>
      </w:r>
      <w:r>
        <w:t>1</w:t>
      </w:r>
      <w:r>
        <w:fldChar w:fldCharType="end"/>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"_Toc147679095" </w:instrText>
      </w:r>
      <w:r>
        <w:fldChar w:fldCharType="separate"/>
      </w:r>
      <w:r>
        <w:rPr>
          <w:rStyle w:val="35"/>
          <w:rFonts w:hAnsi="黑体"/>
        </w:rPr>
        <w:t>3  术语和定义</w:t>
      </w:r>
      <w:r>
        <w:tab/>
      </w:r>
      <w:r>
        <w:fldChar w:fldCharType="begin"/>
      </w:r>
      <w:r>
        <w:instrText xml:space="preserve"> PAGEREF _Toc147679095 \h </w:instrText>
      </w:r>
      <w:r>
        <w:fldChar w:fldCharType="separate"/>
      </w:r>
      <w:r>
        <w:t>2</w:t>
      </w:r>
      <w:r>
        <w:fldChar w:fldCharType="end"/>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"_Toc147679096" </w:instrText>
      </w:r>
      <w:r>
        <w:fldChar w:fldCharType="separate"/>
      </w:r>
      <w:r>
        <w:rPr>
          <w:rStyle w:val="35"/>
        </w:rPr>
        <w:t>4  技术要求</w:t>
      </w:r>
      <w:r>
        <w:tab/>
      </w:r>
      <w:r>
        <w:fldChar w:fldCharType="begin"/>
      </w:r>
      <w:r>
        <w:instrText xml:space="preserve"> PAGEREF _Toc147679096 \h </w:instrText>
      </w:r>
      <w:r>
        <w:fldChar w:fldCharType="separate"/>
      </w:r>
      <w:r>
        <w:t>2</w:t>
      </w:r>
      <w:r>
        <w:fldChar w:fldCharType="end"/>
      </w:r>
      <w:r>
        <w:fldChar w:fldCharType="end"/>
      </w:r>
    </w:p>
    <w:p>
      <w:pPr>
        <w:pStyle w:val="25"/>
        <w:rPr>
          <w:rFonts w:asciiTheme="minorHAnsi" w:hAnsiTheme="minorHAnsi" w:eastAsiaTheme="minorEastAsia" w:cstheme="minorBidi"/>
          <w:szCs w:val="22"/>
        </w:rPr>
      </w:pPr>
      <w:r>
        <w:fldChar w:fldCharType="begin"/>
      </w:r>
      <w:r>
        <w:instrText xml:space="preserve"> HYPERLINK \l "_Toc147679097" </w:instrText>
      </w:r>
      <w:r>
        <w:fldChar w:fldCharType="separate"/>
      </w:r>
      <w:r>
        <w:rPr>
          <w:rStyle w:val="35"/>
          <w14:scene3d>
            <w14:lightRig w14:rig="threePt" w14:dir="t">
              <w14:rot w14:lat="0" w14:lon="0" w14:rev="0"/>
            </w14:lightRig>
          </w14:scene3d>
        </w:rPr>
        <w:t xml:space="preserve">4.1 </w:t>
      </w:r>
      <w:r>
        <w:rPr>
          <w:rStyle w:val="35"/>
        </w:rPr>
        <w:t xml:space="preserve"> 外观</w:t>
      </w:r>
      <w:r>
        <w:tab/>
      </w:r>
      <w:r>
        <w:fldChar w:fldCharType="begin"/>
      </w:r>
      <w:r>
        <w:instrText xml:space="preserve"> PAGEREF _Toc147679097 \h </w:instrText>
      </w:r>
      <w:r>
        <w:fldChar w:fldCharType="separate"/>
      </w:r>
      <w:r>
        <w:t>2</w:t>
      </w:r>
      <w:r>
        <w:fldChar w:fldCharType="end"/>
      </w:r>
      <w:r>
        <w:fldChar w:fldCharType="end"/>
      </w:r>
    </w:p>
    <w:p>
      <w:pPr>
        <w:pStyle w:val="25"/>
        <w:rPr>
          <w:rFonts w:asciiTheme="minorHAnsi" w:hAnsiTheme="minorHAnsi" w:eastAsiaTheme="minorEastAsia" w:cstheme="minorBidi"/>
          <w:szCs w:val="22"/>
        </w:rPr>
      </w:pPr>
      <w:r>
        <w:fldChar w:fldCharType="begin"/>
      </w:r>
      <w:r>
        <w:instrText xml:space="preserve"> HYPERLINK \l "_Toc147679098" </w:instrText>
      </w:r>
      <w:r>
        <w:fldChar w:fldCharType="separate"/>
      </w:r>
      <w:r>
        <w:rPr>
          <w:rStyle w:val="35"/>
          <w14:scene3d>
            <w14:lightRig w14:rig="threePt" w14:dir="t">
              <w14:rot w14:lat="0" w14:lon="0" w14:rev="0"/>
            </w14:lightRig>
          </w14:scene3d>
        </w:rPr>
        <w:t xml:space="preserve">4.2 </w:t>
      </w:r>
      <w:r>
        <w:rPr>
          <w:rStyle w:val="35"/>
        </w:rPr>
        <w:t xml:space="preserve"> 电性能</w:t>
      </w:r>
      <w:r>
        <w:tab/>
      </w:r>
      <w:r>
        <w:t>2</w:t>
      </w:r>
      <w:r>
        <w:fldChar w:fldCharType="end"/>
      </w:r>
    </w:p>
    <w:p>
      <w:pPr>
        <w:pStyle w:val="25"/>
        <w:rPr>
          <w:rFonts w:asciiTheme="minorHAnsi" w:hAnsiTheme="minorHAnsi" w:eastAsiaTheme="minorEastAsia" w:cstheme="minorBidi"/>
          <w:szCs w:val="22"/>
        </w:rPr>
      </w:pPr>
      <w:r>
        <w:fldChar w:fldCharType="begin"/>
      </w:r>
      <w:r>
        <w:instrText xml:space="preserve"> HYPERLINK \l "_Toc147679099" </w:instrText>
      </w:r>
      <w:r>
        <w:fldChar w:fldCharType="separate"/>
      </w:r>
      <w:r>
        <w:rPr>
          <w:rStyle w:val="35"/>
          <w14:scene3d>
            <w14:lightRig w14:rig="threePt" w14:dir="t">
              <w14:rot w14:lat="0" w14:lon="0" w14:rev="0"/>
            </w14:lightRig>
          </w14:scene3d>
        </w:rPr>
        <w:t xml:space="preserve">4.3 </w:t>
      </w:r>
      <w:r>
        <w:rPr>
          <w:rStyle w:val="35"/>
        </w:rPr>
        <w:t xml:space="preserve"> 力学性能</w:t>
      </w:r>
      <w:r>
        <w:tab/>
      </w:r>
      <w:r>
        <w:t>3</w:t>
      </w:r>
      <w:r>
        <w:fldChar w:fldCharType="end"/>
      </w:r>
    </w:p>
    <w:p>
      <w:pPr>
        <w:pStyle w:val="25"/>
        <w:rPr>
          <w:rFonts w:asciiTheme="minorHAnsi" w:hAnsiTheme="minorHAnsi" w:eastAsiaTheme="minorEastAsia" w:cstheme="minorBidi"/>
          <w:szCs w:val="22"/>
        </w:rPr>
      </w:pPr>
      <w:r>
        <w:fldChar w:fldCharType="begin"/>
      </w:r>
      <w:r>
        <w:instrText xml:space="preserve"> HYPERLINK \l "_Toc147679100" </w:instrText>
      </w:r>
      <w:r>
        <w:fldChar w:fldCharType="separate"/>
      </w:r>
      <w:r>
        <w:rPr>
          <w:rStyle w:val="35"/>
          <w14:scene3d>
            <w14:lightRig w14:rig="threePt" w14:dir="t">
              <w14:rot w14:lat="0" w14:lon="0" w14:rev="0"/>
            </w14:lightRig>
          </w14:scene3d>
        </w:rPr>
        <w:t xml:space="preserve">4.4 </w:t>
      </w:r>
      <w:r>
        <w:rPr>
          <w:rStyle w:val="35"/>
        </w:rPr>
        <w:t xml:space="preserve"> 电致发光（EL）要求</w:t>
      </w:r>
      <w:r>
        <w:tab/>
      </w:r>
      <w:r>
        <w:t>3</w:t>
      </w:r>
      <w:r>
        <w:fldChar w:fldCharType="end"/>
      </w:r>
    </w:p>
    <w:p>
      <w:pPr>
        <w:pStyle w:val="25"/>
        <w:rPr>
          <w:rFonts w:asciiTheme="minorHAnsi" w:hAnsiTheme="minorHAnsi" w:eastAsiaTheme="minorEastAsia" w:cstheme="minorBidi"/>
          <w:szCs w:val="22"/>
        </w:rPr>
      </w:pPr>
      <w:r>
        <w:fldChar w:fldCharType="begin"/>
      </w:r>
      <w:r>
        <w:instrText xml:space="preserve"> HYPERLINK \l "_Toc147679101" </w:instrText>
      </w:r>
      <w:r>
        <w:fldChar w:fldCharType="separate"/>
      </w:r>
      <w:r>
        <w:rPr>
          <w:rStyle w:val="35"/>
          <w14:scene3d>
            <w14:lightRig w14:rig="threePt" w14:dir="t">
              <w14:rot w14:lat="0" w14:lon="0" w14:rev="0"/>
            </w14:lightRig>
          </w14:scene3d>
        </w:rPr>
        <w:t xml:space="preserve">4.5 </w:t>
      </w:r>
      <w:r>
        <w:rPr>
          <w:rStyle w:val="35"/>
        </w:rPr>
        <w:t xml:space="preserve"> 可靠性要求</w:t>
      </w:r>
      <w:r>
        <w:tab/>
      </w:r>
      <w:r>
        <w:t>3</w:t>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"_Toc147679102" </w:instrText>
      </w:r>
      <w:r>
        <w:fldChar w:fldCharType="separate"/>
      </w:r>
      <w:r>
        <w:rPr>
          <w:rStyle w:val="35"/>
        </w:rPr>
        <w:t>5  试验方法</w:t>
      </w:r>
      <w:r>
        <w:tab/>
      </w:r>
      <w:r>
        <w:t>3</w:t>
      </w:r>
      <w:r>
        <w:fldChar w:fldCharType="end"/>
      </w:r>
    </w:p>
    <w:p>
      <w:pPr>
        <w:pStyle w:val="25"/>
        <w:rPr>
          <w:rFonts w:asciiTheme="minorHAnsi" w:hAnsiTheme="minorHAnsi" w:eastAsiaTheme="minorEastAsia" w:cstheme="minorBidi"/>
          <w:szCs w:val="22"/>
        </w:rPr>
      </w:pPr>
      <w:r>
        <w:fldChar w:fldCharType="begin"/>
      </w:r>
      <w:r>
        <w:instrText xml:space="preserve"> HYPERLINK \l "_Toc147679103" </w:instrText>
      </w:r>
      <w:r>
        <w:fldChar w:fldCharType="separate"/>
      </w:r>
      <w:r>
        <w:rPr>
          <w:rStyle w:val="35"/>
          <w14:scene3d>
            <w14:lightRig w14:rig="threePt" w14:dir="t">
              <w14:rot w14:lat="0" w14:lon="0" w14:rev="0"/>
            </w14:lightRig>
          </w14:scene3d>
        </w:rPr>
        <w:t xml:space="preserve">5.1 </w:t>
      </w:r>
      <w:r>
        <w:rPr>
          <w:rStyle w:val="35"/>
        </w:rPr>
        <w:t xml:space="preserve"> 外观</w:t>
      </w:r>
      <w:r>
        <w:tab/>
      </w:r>
      <w:r>
        <w:fldChar w:fldCharType="begin"/>
      </w:r>
      <w:r>
        <w:instrText xml:space="preserve"> PAGEREF _Toc147679103 \h </w:instrText>
      </w:r>
      <w:r>
        <w:fldChar w:fldCharType="separate"/>
      </w:r>
      <w:r>
        <w:t>4</w:t>
      </w:r>
      <w:r>
        <w:fldChar w:fldCharType="end"/>
      </w:r>
      <w:r>
        <w:fldChar w:fldCharType="end"/>
      </w:r>
    </w:p>
    <w:p>
      <w:pPr>
        <w:pStyle w:val="25"/>
        <w:rPr>
          <w:rFonts w:asciiTheme="minorHAnsi" w:hAnsiTheme="minorHAnsi" w:eastAsiaTheme="minorEastAsia" w:cstheme="minorBidi"/>
          <w:szCs w:val="22"/>
        </w:rPr>
      </w:pPr>
      <w:r>
        <w:fldChar w:fldCharType="begin"/>
      </w:r>
      <w:r>
        <w:instrText xml:space="preserve"> HYPERLINK \l "_Toc147679104" </w:instrText>
      </w:r>
      <w:r>
        <w:fldChar w:fldCharType="separate"/>
      </w:r>
      <w:r>
        <w:rPr>
          <w:rStyle w:val="35"/>
          <w14:scene3d>
            <w14:lightRig w14:rig="threePt" w14:dir="t">
              <w14:rot w14:lat="0" w14:lon="0" w14:rev="0"/>
            </w14:lightRig>
          </w14:scene3d>
        </w:rPr>
        <w:t xml:space="preserve">5.2 </w:t>
      </w:r>
      <w:r>
        <w:rPr>
          <w:rStyle w:val="35"/>
        </w:rPr>
        <w:t xml:space="preserve"> 电性能</w:t>
      </w:r>
      <w:r>
        <w:tab/>
      </w:r>
      <w:r>
        <w:t>4</w:t>
      </w:r>
      <w:r>
        <w:fldChar w:fldCharType="end"/>
      </w:r>
    </w:p>
    <w:p>
      <w:pPr>
        <w:pStyle w:val="25"/>
        <w:rPr>
          <w:rFonts w:asciiTheme="minorHAnsi" w:hAnsiTheme="minorHAnsi" w:eastAsiaTheme="minorEastAsia" w:cstheme="minorBidi"/>
          <w:szCs w:val="22"/>
        </w:rPr>
      </w:pPr>
      <w:r>
        <w:fldChar w:fldCharType="begin"/>
      </w:r>
      <w:r>
        <w:instrText xml:space="preserve"> HYPERLINK \l "_Toc147679105" </w:instrText>
      </w:r>
      <w:r>
        <w:fldChar w:fldCharType="separate"/>
      </w:r>
      <w:r>
        <w:rPr>
          <w:rStyle w:val="35"/>
          <w14:scene3d>
            <w14:lightRig w14:rig="threePt" w14:dir="t">
              <w14:rot w14:lat="0" w14:lon="0" w14:rev="0"/>
            </w14:lightRig>
          </w14:scene3d>
        </w:rPr>
        <w:t xml:space="preserve">5.3 </w:t>
      </w:r>
      <w:r>
        <w:rPr>
          <w:rStyle w:val="35"/>
        </w:rPr>
        <w:t xml:space="preserve"> 力学性能</w:t>
      </w:r>
      <w:r>
        <w:tab/>
      </w:r>
      <w:r>
        <w:t>4</w:t>
      </w:r>
      <w:r>
        <w:fldChar w:fldCharType="end"/>
      </w:r>
    </w:p>
    <w:p>
      <w:pPr>
        <w:pStyle w:val="25"/>
        <w:rPr>
          <w:rFonts w:asciiTheme="minorHAnsi" w:hAnsiTheme="minorHAnsi" w:eastAsiaTheme="minorEastAsia" w:cstheme="minorBidi"/>
          <w:szCs w:val="22"/>
        </w:rPr>
      </w:pPr>
      <w:r>
        <w:fldChar w:fldCharType="begin"/>
      </w:r>
      <w:r>
        <w:instrText xml:space="preserve"> HYPERLINK \l "_Toc147679106" </w:instrText>
      </w:r>
      <w:r>
        <w:fldChar w:fldCharType="separate"/>
      </w:r>
      <w:r>
        <w:rPr>
          <w:rStyle w:val="35"/>
          <w14:scene3d>
            <w14:lightRig w14:rig="threePt" w14:dir="t">
              <w14:rot w14:lat="0" w14:lon="0" w14:rev="0"/>
            </w14:lightRig>
          </w14:scene3d>
        </w:rPr>
        <w:t xml:space="preserve">5.4 </w:t>
      </w:r>
      <w:r>
        <w:rPr>
          <w:rStyle w:val="35"/>
        </w:rPr>
        <w:t xml:space="preserve"> EL</w:t>
      </w:r>
      <w:r>
        <w:rPr>
          <w:rStyle w:val="35"/>
          <w:rFonts w:hAnsi="黑体"/>
        </w:rPr>
        <w:t>要求</w:t>
      </w:r>
      <w:r>
        <w:tab/>
      </w:r>
      <w:r>
        <w:t>4</w:t>
      </w:r>
      <w:r>
        <w:fldChar w:fldCharType="end"/>
      </w:r>
    </w:p>
    <w:p>
      <w:pPr>
        <w:pStyle w:val="25"/>
        <w:rPr>
          <w:rFonts w:asciiTheme="minorHAnsi" w:hAnsiTheme="minorHAnsi" w:eastAsiaTheme="minorEastAsia" w:cstheme="minorBidi"/>
          <w:szCs w:val="22"/>
        </w:rPr>
      </w:pPr>
      <w:r>
        <w:fldChar w:fldCharType="begin"/>
      </w:r>
      <w:r>
        <w:instrText xml:space="preserve"> HYPERLINK \l "_Toc147679107" </w:instrText>
      </w:r>
      <w:r>
        <w:fldChar w:fldCharType="separate"/>
      </w:r>
      <w:r>
        <w:rPr>
          <w:rStyle w:val="35"/>
          <w14:scene3d>
            <w14:lightRig w14:rig="threePt" w14:dir="t">
              <w14:rot w14:lat="0" w14:lon="0" w14:rev="0"/>
            </w14:lightRig>
          </w14:scene3d>
        </w:rPr>
        <w:t xml:space="preserve">5.5 </w:t>
      </w:r>
      <w:r>
        <w:rPr>
          <w:rStyle w:val="35"/>
        </w:rPr>
        <w:t xml:space="preserve"> 可靠性试验</w:t>
      </w:r>
      <w:r>
        <w:tab/>
      </w:r>
      <w:r>
        <w:t>4</w:t>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"_Toc147679108" </w:instrText>
      </w:r>
      <w:r>
        <w:fldChar w:fldCharType="separate"/>
      </w:r>
      <w:r>
        <w:rPr>
          <w:rStyle w:val="35"/>
        </w:rPr>
        <w:t>6  检验规则</w:t>
      </w:r>
      <w:r>
        <w:tab/>
      </w:r>
      <w:r>
        <w:t>5</w:t>
      </w:r>
      <w:r>
        <w:fldChar w:fldCharType="end"/>
      </w:r>
    </w:p>
    <w:p>
      <w:pPr>
        <w:pStyle w:val="25"/>
        <w:rPr>
          <w:rFonts w:asciiTheme="minorHAnsi" w:hAnsiTheme="minorHAnsi" w:eastAsiaTheme="minorEastAsia" w:cstheme="minorBidi"/>
          <w:szCs w:val="22"/>
        </w:rPr>
      </w:pPr>
      <w:r>
        <w:fldChar w:fldCharType="begin"/>
      </w:r>
      <w:r>
        <w:instrText xml:space="preserve"> HYPERLINK \l "_Toc147679109" </w:instrText>
      </w:r>
      <w:r>
        <w:fldChar w:fldCharType="separate"/>
      </w:r>
      <w:r>
        <w:rPr>
          <w:rStyle w:val="35"/>
          <w14:scene3d>
            <w14:lightRig w14:rig="threePt" w14:dir="t">
              <w14:rot w14:lat="0" w14:lon="0" w14:rev="0"/>
            </w14:lightRig>
          </w14:scene3d>
        </w:rPr>
        <w:t xml:space="preserve">6.1 </w:t>
      </w:r>
      <w:r>
        <w:rPr>
          <w:rStyle w:val="35"/>
        </w:rPr>
        <w:t xml:space="preserve"> 检验分类</w:t>
      </w:r>
      <w:r>
        <w:tab/>
      </w:r>
      <w:r>
        <w:t>5</w:t>
      </w:r>
      <w:r>
        <w:fldChar w:fldCharType="end"/>
      </w:r>
    </w:p>
    <w:p>
      <w:pPr>
        <w:pStyle w:val="25"/>
        <w:rPr>
          <w:rFonts w:asciiTheme="minorHAnsi" w:hAnsiTheme="minorHAnsi" w:eastAsiaTheme="minorEastAsia" w:cstheme="minorBidi"/>
          <w:szCs w:val="22"/>
        </w:rPr>
      </w:pPr>
      <w:r>
        <w:fldChar w:fldCharType="begin"/>
      </w:r>
      <w:r>
        <w:instrText xml:space="preserve"> HYPERLINK \l "_Toc147679110" </w:instrText>
      </w:r>
      <w:r>
        <w:fldChar w:fldCharType="separate"/>
      </w:r>
      <w:r>
        <w:rPr>
          <w:rStyle w:val="35"/>
          <w14:scene3d>
            <w14:lightRig w14:rig="threePt" w14:dir="t">
              <w14:rot w14:lat="0" w14:lon="0" w14:rev="0"/>
            </w14:lightRig>
          </w14:scene3d>
        </w:rPr>
        <w:t xml:space="preserve">6.2 </w:t>
      </w:r>
      <w:r>
        <w:rPr>
          <w:rStyle w:val="35"/>
        </w:rPr>
        <w:t xml:space="preserve"> 出厂检验</w:t>
      </w:r>
      <w:r>
        <w:tab/>
      </w:r>
      <w:r>
        <w:t>5</w:t>
      </w:r>
      <w:r>
        <w:fldChar w:fldCharType="end"/>
      </w:r>
    </w:p>
    <w:p>
      <w:pPr>
        <w:pStyle w:val="25"/>
        <w:rPr>
          <w:rFonts w:asciiTheme="minorHAnsi" w:hAnsiTheme="minorHAnsi" w:eastAsiaTheme="minorEastAsia" w:cstheme="minorBidi"/>
          <w:szCs w:val="22"/>
        </w:rPr>
      </w:pPr>
      <w:r>
        <w:fldChar w:fldCharType="begin"/>
      </w:r>
      <w:r>
        <w:instrText xml:space="preserve"> HYPERLINK \l "_Toc147679111" </w:instrText>
      </w:r>
      <w:r>
        <w:fldChar w:fldCharType="separate"/>
      </w:r>
      <w:r>
        <w:rPr>
          <w:rStyle w:val="35"/>
          <w14:scene3d>
            <w14:lightRig w14:rig="threePt" w14:dir="t">
              <w14:rot w14:lat="0" w14:lon="0" w14:rev="0"/>
            </w14:lightRig>
          </w14:scene3d>
        </w:rPr>
        <w:t xml:space="preserve">6.3 </w:t>
      </w:r>
      <w:r>
        <w:rPr>
          <w:rStyle w:val="35"/>
        </w:rPr>
        <w:t xml:space="preserve"> 型式试验</w:t>
      </w:r>
      <w:r>
        <w:tab/>
      </w:r>
      <w:r>
        <w:t>5</w:t>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"_Toc147679112" </w:instrText>
      </w:r>
      <w:r>
        <w:fldChar w:fldCharType="separate"/>
      </w:r>
      <w:r>
        <w:rPr>
          <w:rStyle w:val="35"/>
        </w:rPr>
        <w:t>7  包装、标识、储存和运输</w:t>
      </w:r>
      <w:r>
        <w:tab/>
      </w:r>
      <w:r>
        <w:t>6</w:t>
      </w:r>
      <w:r>
        <w:fldChar w:fldCharType="end"/>
      </w:r>
    </w:p>
    <w:p>
      <w:pPr>
        <w:pStyle w:val="25"/>
        <w:rPr>
          <w:rFonts w:asciiTheme="minorHAnsi" w:hAnsiTheme="minorHAnsi" w:eastAsiaTheme="minorEastAsia" w:cstheme="minorBidi"/>
          <w:szCs w:val="22"/>
        </w:rPr>
      </w:pPr>
      <w:r>
        <w:fldChar w:fldCharType="begin"/>
      </w:r>
      <w:r>
        <w:instrText xml:space="preserve"> HYPERLINK \l "_Toc147679113" </w:instrText>
      </w:r>
      <w:r>
        <w:fldChar w:fldCharType="separate"/>
      </w:r>
      <w:r>
        <w:rPr>
          <w:rStyle w:val="35"/>
          <w14:scene3d>
            <w14:lightRig w14:rig="threePt" w14:dir="t">
              <w14:rot w14:lat="0" w14:lon="0" w14:rev="0"/>
            </w14:lightRig>
          </w14:scene3d>
        </w:rPr>
        <w:t xml:space="preserve">7.1 </w:t>
      </w:r>
      <w:r>
        <w:rPr>
          <w:rStyle w:val="35"/>
        </w:rPr>
        <w:t xml:space="preserve"> 包装</w:t>
      </w:r>
      <w:r>
        <w:tab/>
      </w:r>
      <w:r>
        <w:t>6</w:t>
      </w:r>
      <w:r>
        <w:fldChar w:fldCharType="end"/>
      </w:r>
    </w:p>
    <w:p>
      <w:pPr>
        <w:pStyle w:val="25"/>
        <w:rPr>
          <w:rFonts w:asciiTheme="minorHAnsi" w:hAnsiTheme="minorHAnsi" w:eastAsiaTheme="minorEastAsia" w:cstheme="minorBidi"/>
          <w:szCs w:val="22"/>
        </w:rPr>
      </w:pPr>
      <w:r>
        <w:fldChar w:fldCharType="begin"/>
      </w:r>
      <w:r>
        <w:instrText xml:space="preserve"> HYPERLINK \l "_Toc147679114" </w:instrText>
      </w:r>
      <w:r>
        <w:fldChar w:fldCharType="separate"/>
      </w:r>
      <w:r>
        <w:rPr>
          <w:rStyle w:val="35"/>
          <w14:scene3d>
            <w14:lightRig w14:rig="threePt" w14:dir="t">
              <w14:rot w14:lat="0" w14:lon="0" w14:rev="0"/>
            </w14:lightRig>
          </w14:scene3d>
        </w:rPr>
        <w:t xml:space="preserve">7.2 </w:t>
      </w:r>
      <w:r>
        <w:rPr>
          <w:rStyle w:val="35"/>
        </w:rPr>
        <w:t xml:space="preserve"> 标识</w:t>
      </w:r>
      <w:r>
        <w:tab/>
      </w:r>
      <w:r>
        <w:t>6</w:t>
      </w:r>
      <w:r>
        <w:fldChar w:fldCharType="end"/>
      </w:r>
    </w:p>
    <w:p>
      <w:pPr>
        <w:pStyle w:val="25"/>
        <w:rPr>
          <w:rFonts w:asciiTheme="minorHAnsi" w:hAnsiTheme="minorHAnsi" w:eastAsiaTheme="minorEastAsia" w:cstheme="minorBidi"/>
          <w:szCs w:val="22"/>
        </w:rPr>
      </w:pPr>
      <w:r>
        <w:fldChar w:fldCharType="begin"/>
      </w:r>
      <w:r>
        <w:instrText xml:space="preserve"> HYPERLINK \l "_Toc147679115" </w:instrText>
      </w:r>
      <w:r>
        <w:fldChar w:fldCharType="separate"/>
      </w:r>
      <w:r>
        <w:rPr>
          <w:rStyle w:val="35"/>
          <w14:scene3d>
            <w14:lightRig w14:rig="threePt" w14:dir="t">
              <w14:rot w14:lat="0" w14:lon="0" w14:rev="0"/>
            </w14:lightRig>
          </w14:scene3d>
        </w:rPr>
        <w:t xml:space="preserve">7.3 </w:t>
      </w:r>
      <w:r>
        <w:rPr>
          <w:rStyle w:val="35"/>
        </w:rPr>
        <w:t xml:space="preserve"> 储存</w:t>
      </w:r>
      <w:r>
        <w:tab/>
      </w:r>
      <w:r>
        <w:t>6</w:t>
      </w:r>
      <w:r>
        <w:fldChar w:fldCharType="end"/>
      </w:r>
    </w:p>
    <w:p>
      <w:pPr>
        <w:pStyle w:val="25"/>
        <w:rPr>
          <w:rFonts w:asciiTheme="minorHAnsi" w:hAnsiTheme="minorHAnsi" w:eastAsiaTheme="minorEastAsia" w:cstheme="minorBidi"/>
          <w:szCs w:val="22"/>
        </w:rPr>
      </w:pPr>
      <w:r>
        <w:fldChar w:fldCharType="begin"/>
      </w:r>
      <w:r>
        <w:instrText xml:space="preserve"> HYPERLINK \l "_Toc147679116" </w:instrText>
      </w:r>
      <w:r>
        <w:fldChar w:fldCharType="separate"/>
      </w:r>
      <w:r>
        <w:rPr>
          <w:rStyle w:val="35"/>
          <w14:scene3d>
            <w14:lightRig w14:rig="threePt" w14:dir="t">
              <w14:rot w14:lat="0" w14:lon="0" w14:rev="0"/>
            </w14:lightRig>
          </w14:scene3d>
        </w:rPr>
        <w:t xml:space="preserve">7.4 </w:t>
      </w:r>
      <w:r>
        <w:rPr>
          <w:rStyle w:val="35"/>
        </w:rPr>
        <w:t xml:space="preserve"> 运输</w:t>
      </w:r>
      <w:r>
        <w:tab/>
      </w:r>
      <w:r>
        <w:t>6</w:t>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"_Toc147679117" </w:instrText>
      </w:r>
      <w:r>
        <w:fldChar w:fldCharType="separate"/>
      </w:r>
      <w:r>
        <w:rPr>
          <w:rStyle w:val="35"/>
        </w:rPr>
        <w:t xml:space="preserve">附录A（规范性）  </w:t>
      </w:r>
      <w:r>
        <w:rPr>
          <w:rStyle w:val="35"/>
          <w:rFonts w:hint="eastAsia"/>
        </w:rPr>
        <w:t>电池外观要求</w:t>
      </w:r>
      <w:r>
        <w:tab/>
      </w:r>
      <w:r>
        <w:t>7</w:t>
      </w:r>
      <w:r>
        <w:fldChar w:fldCharType="end"/>
      </w:r>
    </w:p>
    <w:p>
      <w:pPr>
        <w:pStyle w:val="20"/>
        <w:tabs>
          <w:tab w:val="right" w:leader="dot" w:pos="9344"/>
        </w:tabs>
        <w:rPr>
          <w:rFonts w:asciiTheme="minorHAnsi" w:hAnsiTheme="minorHAnsi" w:eastAsiaTheme="minorEastAsia" w:cstheme="minorBidi"/>
          <w:szCs w:val="22"/>
        </w:rPr>
      </w:pPr>
      <w:r>
        <w:fldChar w:fldCharType="begin"/>
      </w:r>
      <w:r>
        <w:instrText xml:space="preserve"> HYPERLINK \l "_Toc147679117" </w:instrText>
      </w:r>
      <w:r>
        <w:fldChar w:fldCharType="separate"/>
      </w:r>
      <w:r>
        <w:rPr>
          <w:rStyle w:val="35"/>
        </w:rPr>
        <w:t xml:space="preserve">附录B（规范性）  </w:t>
      </w:r>
      <w:r>
        <w:rPr>
          <w:rStyle w:val="35"/>
          <w:rFonts w:hint="eastAsia"/>
        </w:rPr>
        <w:t>电致发光（EL）要求</w:t>
      </w:r>
      <w:r>
        <w:tab/>
      </w:r>
      <w:r>
        <w:t>10</w:t>
      </w:r>
      <w:r>
        <w:fldChar w:fldCharType="end"/>
      </w:r>
    </w:p>
    <w:p>
      <w:pPr>
        <w:pStyle w:val="20"/>
        <w:tabs>
          <w:tab w:val="right" w:leader="dot" w:pos="9344"/>
        </w:tabs>
        <w:rPr>
          <w:rFonts w:hint="eastAsia" w:eastAsia="宋体" w:asciiTheme="minorHAnsi" w:hAnsiTheme="minorHAnsi" w:cstheme="minorBidi"/>
          <w:szCs w:val="22"/>
          <w:lang w:eastAsia="zh-CN"/>
        </w:rPr>
      </w:pPr>
      <w:r>
        <w:fldChar w:fldCharType="begin"/>
      </w:r>
      <w:r>
        <w:instrText xml:space="preserve"> HYPERLINK \l "_Toc147679117" </w:instrText>
      </w:r>
      <w:r>
        <w:fldChar w:fldCharType="separate"/>
      </w:r>
      <w:r>
        <w:rPr>
          <w:rStyle w:val="35"/>
        </w:rPr>
        <w:t xml:space="preserve">附录C（规范性）  </w:t>
      </w:r>
      <w:r>
        <w:rPr>
          <w:rStyle w:val="35"/>
          <w:rFonts w:hint="eastAsia"/>
        </w:rPr>
        <w:t>小组件的层压制作</w:t>
      </w:r>
      <w:r>
        <w:tab/>
      </w:r>
      <w:r>
        <w:t>1</w:t>
      </w:r>
      <w:r>
        <w:fldChar w:fldCharType="end"/>
      </w:r>
      <w:r>
        <w:rPr>
          <w:rFonts w:hint="eastAsia"/>
          <w:lang w:val="en-US" w:eastAsia="zh-CN"/>
        </w:rPr>
        <w:t>2</w:t>
      </w:r>
    </w:p>
    <w:p>
      <w:pPr>
        <w:pStyle w:val="95"/>
        <w:spacing w:after="360"/>
        <w:sectPr>
          <w:footerReference r:id="rId10" w:type="default"/>
          <w:footerReference r:id="rId11" w:type="even"/>
          <w:pgSz w:w="11906" w:h="16838"/>
          <w:pgMar w:top="1928" w:right="1134" w:bottom="1134" w:left="1134" w:header="1418" w:footer="1134" w:gutter="284"/>
          <w:pgNumType w:fmt="upperRoman" w:start="1"/>
          <w:cols w:space="425" w:num="1"/>
          <w:formProt w:val="0"/>
          <w:docGrid w:linePitch="312" w:charSpace="0"/>
        </w:sectPr>
      </w:pPr>
      <w:r>
        <w:fldChar w:fldCharType="end"/>
      </w:r>
    </w:p>
    <w:bookmarkEnd w:id="17"/>
    <w:p>
      <w:pPr>
        <w:pStyle w:val="93"/>
        <w:spacing w:before="567" w:after="680" w:afterLines="0"/>
      </w:pPr>
      <w:bookmarkStart w:id="21" w:name="_Toc147679091"/>
      <w:bookmarkStart w:id="22" w:name="BookMark2"/>
      <w:r>
        <w:rPr>
          <w:spacing w:val="320"/>
        </w:rPr>
        <w:t>前</w:t>
      </w:r>
      <w:r>
        <w:t>言</w:t>
      </w:r>
      <w:bookmarkEnd w:id="18"/>
      <w:bookmarkEnd w:id="19"/>
      <w:bookmarkEnd w:id="20"/>
      <w:bookmarkEnd w:id="21"/>
    </w:p>
    <w:p>
      <w:pPr>
        <w:pStyle w:val="60"/>
        <w:ind w:firstLine="420"/>
      </w:pPr>
      <w:r>
        <w:rPr>
          <w:rFonts w:hint="eastAsia"/>
        </w:rPr>
        <w:t>本文件按照GB/T 1.1—2020《标准化工作导则  第1部分：标准化文件的结构和起草规则》的规定起草。</w:t>
      </w:r>
    </w:p>
    <w:p>
      <w:pPr>
        <w:pStyle w:val="60"/>
        <w:ind w:firstLine="420"/>
        <w:rPr>
          <w:rFonts w:hAnsi="宋体"/>
        </w:rPr>
      </w:pPr>
      <w:r>
        <w:rPr>
          <w:rFonts w:hint="eastAsia" w:hAnsi="宋体"/>
        </w:rPr>
        <w:t>本文件是T</w:t>
      </w:r>
      <w:r>
        <w:rPr>
          <w:rFonts w:hint="eastAsia"/>
        </w:rPr>
        <w:t>/CPIA XXXX《晶体硅光伏电池》的第2部分。</w:t>
      </w:r>
      <w:r>
        <w:rPr>
          <w:rFonts w:hint="eastAsia" w:hAnsi="宋体"/>
        </w:rPr>
        <w:t>T</w:t>
      </w:r>
      <w:r>
        <w:rPr>
          <w:rFonts w:hint="eastAsia"/>
        </w:rPr>
        <w:t>/CPIA XXXX已经发布了以下部分：</w:t>
      </w:r>
    </w:p>
    <w:p>
      <w:pPr>
        <w:pStyle w:val="136"/>
      </w:pPr>
      <w:r>
        <w:rPr>
          <w:rFonts w:hint="eastAsia" w:hAnsi="宋体"/>
        </w:rPr>
        <w:t>第1部分：n型隧穿氧化钝化接触光伏电池；</w:t>
      </w:r>
    </w:p>
    <w:p>
      <w:pPr>
        <w:pStyle w:val="136"/>
      </w:pPr>
      <w:r>
        <w:rPr>
          <w:rFonts w:hint="eastAsia" w:hAnsi="宋体"/>
        </w:rPr>
        <w:t>第2部分：异质结光伏电池；</w:t>
      </w:r>
    </w:p>
    <w:p>
      <w:pPr>
        <w:pStyle w:val="136"/>
      </w:pPr>
      <w:r>
        <w:rPr>
          <w:rFonts w:hint="eastAsia" w:hAnsi="宋体"/>
        </w:rPr>
        <w:t>第3部分：背接触光伏电池。</w:t>
      </w:r>
    </w:p>
    <w:p>
      <w:pPr>
        <w:pStyle w:val="60"/>
        <w:ind w:firstLine="420"/>
      </w:pPr>
      <w:r>
        <w:rPr>
          <w:rFonts w:hint="eastAsia" w:hAnsi="宋体"/>
        </w:rPr>
        <w:t>请注意本文件的某些内容可能涉及专利。本文件的发布机构不承担识别这些专利的责任。</w:t>
      </w:r>
    </w:p>
    <w:p>
      <w:pPr>
        <w:pStyle w:val="60"/>
        <w:ind w:firstLine="420"/>
      </w:pPr>
      <w:r>
        <w:rPr>
          <w:rFonts w:hint="eastAsia" w:hAnsi="宋体"/>
        </w:rPr>
        <w:t>本文件由中国光伏行业协会标准化技术委员会提出并归口。</w:t>
      </w:r>
    </w:p>
    <w:p>
      <w:pPr>
        <w:pStyle w:val="60"/>
        <w:ind w:firstLine="420"/>
      </w:pPr>
      <w:r>
        <w:rPr>
          <w:rFonts w:hint="eastAsia" w:hAnsi="宋体"/>
        </w:rPr>
        <w:t>本文件起草单位：</w:t>
      </w:r>
    </w:p>
    <w:p>
      <w:pPr>
        <w:pStyle w:val="60"/>
        <w:ind w:firstLine="420"/>
      </w:pPr>
      <w:r>
        <w:rPr>
          <w:rFonts w:hint="eastAsia" w:hAnsi="宋体"/>
        </w:rPr>
        <w:t>本文件主要起草人：</w:t>
      </w:r>
    </w:p>
    <w:p>
      <w:pPr>
        <w:pStyle w:val="60"/>
        <w:ind w:firstLine="420"/>
      </w:pPr>
    </w:p>
    <w:p>
      <w:pPr>
        <w:pStyle w:val="60"/>
        <w:ind w:firstLine="420"/>
        <w:sectPr>
          <w:footerReference r:id="rId12" w:type="default"/>
          <w:footerReference r:id="rId13" w:type="even"/>
          <w:pgSz w:w="11906" w:h="16838"/>
          <w:pgMar w:top="1928" w:right="1134" w:bottom="1134" w:left="1134" w:header="1418" w:footer="1134" w:gutter="284"/>
          <w:pgNumType w:fmt="upperRoman"/>
          <w:cols w:space="425" w:num="1"/>
          <w:formProt w:val="0"/>
          <w:docGrid w:linePitch="312" w:charSpace="0"/>
        </w:sectPr>
      </w:pPr>
    </w:p>
    <w:bookmarkEnd w:id="22"/>
    <w:p>
      <w:pPr>
        <w:pStyle w:val="93"/>
        <w:spacing w:before="567" w:after="680" w:afterLines="0"/>
      </w:pPr>
      <w:bookmarkStart w:id="23" w:name="_Toc137224780"/>
      <w:bookmarkStart w:id="24" w:name="_Toc147679092"/>
      <w:bookmarkStart w:id="25" w:name="BookMark3"/>
      <w:r>
        <w:rPr>
          <w:rFonts w:hint="eastAsia"/>
          <w:spacing w:val="320"/>
        </w:rPr>
        <w:t>引</w:t>
      </w:r>
      <w:r>
        <w:t>言</w:t>
      </w:r>
      <w:bookmarkEnd w:id="23"/>
      <w:bookmarkEnd w:id="24"/>
    </w:p>
    <w:p>
      <w:pPr>
        <w:pStyle w:val="60"/>
        <w:ind w:firstLine="420"/>
      </w:pPr>
      <w:r>
        <w:rPr>
          <w:rFonts w:hint="eastAsia" w:hAnsi="宋体"/>
        </w:rPr>
        <w:t>T</w:t>
      </w:r>
      <w:r>
        <w:rPr>
          <w:rFonts w:hint="eastAsia"/>
        </w:rPr>
        <w:t>/CPIA XXXX旨在确立不同晶体硅光伏电池生产过程中遵循的技术原则和条件，拟由三个部分组成。</w:t>
      </w:r>
    </w:p>
    <w:p>
      <w:pPr>
        <w:pStyle w:val="136"/>
      </w:pPr>
      <w:r>
        <w:rPr>
          <w:rFonts w:hint="eastAsia" w:hAnsi="宋体"/>
        </w:rPr>
        <w:t>第1部分：n型隧穿氧化钝化接触光伏电池。目的在于确立n型隧穿氧化钝化接触光伏电池的技术要求、试验方法</w:t>
      </w:r>
      <w:r>
        <w:rPr>
          <w:rFonts w:hint="eastAsia"/>
        </w:rPr>
        <w:t>等相关要求。</w:t>
      </w:r>
    </w:p>
    <w:p>
      <w:pPr>
        <w:pStyle w:val="136"/>
      </w:pPr>
      <w:r>
        <w:rPr>
          <w:rFonts w:hint="eastAsia" w:hAnsi="宋体"/>
        </w:rPr>
        <w:t>第2部分：异质结光伏电池。目的在于确立晶硅异质结光伏电池的技术要求、试验方法</w:t>
      </w:r>
      <w:r>
        <w:rPr>
          <w:rFonts w:hint="eastAsia"/>
        </w:rPr>
        <w:t>等相关要求</w:t>
      </w:r>
      <w:r>
        <w:rPr>
          <w:rFonts w:hint="eastAsia" w:hAnsi="宋体"/>
        </w:rPr>
        <w:t>。</w:t>
      </w:r>
    </w:p>
    <w:p>
      <w:pPr>
        <w:pStyle w:val="136"/>
      </w:pPr>
      <w:r>
        <w:rPr>
          <w:rFonts w:hint="eastAsia" w:hAnsi="宋体"/>
        </w:rPr>
        <w:t>第3部分：背接触光伏电池。目的在于确立背接触光伏电池的技术要求、试验方法</w:t>
      </w:r>
      <w:r>
        <w:rPr>
          <w:rFonts w:hint="eastAsia"/>
        </w:rPr>
        <w:t>等相关要求</w:t>
      </w:r>
      <w:r>
        <w:rPr>
          <w:rFonts w:hint="eastAsia" w:hAnsi="宋体"/>
        </w:rPr>
        <w:t>。</w:t>
      </w:r>
    </w:p>
    <w:p>
      <w:pPr>
        <w:pStyle w:val="60"/>
        <w:ind w:firstLine="199" w:firstLineChars="95"/>
        <w:sectPr>
          <w:footerReference r:id="rId14" w:type="default"/>
          <w:pgSz w:w="11906" w:h="16838"/>
          <w:pgMar w:top="567" w:right="1134" w:bottom="1134" w:left="1134" w:header="1418" w:footer="1134" w:gutter="284"/>
          <w:pgNumType w:fmt="upperRoman"/>
          <w:cols w:space="425" w:num="1"/>
          <w:formProt w:val="0"/>
          <w:docGrid w:linePitch="312" w:charSpace="0"/>
        </w:sectPr>
      </w:pPr>
    </w:p>
    <w:bookmarkEnd w:id="25"/>
    <w:sdt>
      <w:sdtPr>
        <w:tag w:val="NEW_STAND_NAME"/>
        <w:id w:val="595910757"/>
        <w:lock w:val="sdtLocked"/>
        <w:placeholder>
          <w:docPart w:val="73343C71AD99490C81C797793649E883"/>
        </w:placeholder>
      </w:sdtPr>
      <w:sdtContent>
        <w:p>
          <w:pPr>
            <w:pStyle w:val="181"/>
            <w:spacing w:before="567" w:after="0" w:line="240" w:lineRule="auto"/>
          </w:pPr>
          <w:bookmarkStart w:id="26" w:name="NEW_STAND_NAME"/>
          <w:bookmarkStart w:id="27" w:name="BookMark4"/>
          <w:r>
            <w:rPr>
              <w:rFonts w:hint="eastAsia"/>
            </w:rPr>
            <w:t>晶体硅光伏电池</w:t>
          </w:r>
          <w:r>
            <w:rPr>
              <w:rFonts w:hint="eastAsia"/>
              <w:lang w:val="en-US" w:eastAsia="zh-CN"/>
            </w:rPr>
            <w:t xml:space="preserve">  </w:t>
          </w:r>
          <w:r>
            <w:t>第2部分：</w:t>
          </w:r>
          <w:r>
            <w:rPr>
              <w:rFonts w:hint="eastAsia"/>
            </w:rPr>
            <w:t>异质结光伏电池</w:t>
          </w:r>
        </w:p>
      </w:sdtContent>
    </w:sdt>
    <w:bookmarkEnd w:id="26"/>
    <w:p>
      <w:pPr>
        <w:pStyle w:val="108"/>
        <w:spacing w:before="240" w:after="240"/>
        <w:rPr>
          <w:rFonts w:hAnsi="黑体"/>
        </w:rPr>
      </w:pPr>
      <w:bookmarkStart w:id="28" w:name="_Toc26648465"/>
      <w:bookmarkStart w:id="29" w:name="_Toc131168572"/>
      <w:bookmarkStart w:id="30" w:name="_Toc26986530"/>
      <w:bookmarkStart w:id="31" w:name="_Toc17233333"/>
      <w:bookmarkStart w:id="32" w:name="_Toc97192964"/>
      <w:bookmarkStart w:id="33" w:name="_Toc147679093"/>
      <w:bookmarkStart w:id="34" w:name="_Toc26718930"/>
      <w:bookmarkStart w:id="35" w:name="_Toc137224781"/>
      <w:bookmarkStart w:id="36" w:name="_Toc26986771"/>
      <w:bookmarkStart w:id="37" w:name="_Toc24884211"/>
      <w:bookmarkStart w:id="38" w:name="_Toc131168483"/>
      <w:bookmarkStart w:id="39" w:name="_Toc17233325"/>
      <w:bookmarkStart w:id="40" w:name="_Toc24884218"/>
      <w:r>
        <w:rPr>
          <w:rFonts w:hint="eastAsia" w:hAnsi="黑体"/>
        </w:rPr>
        <w:t>范围</w:t>
      </w:r>
      <w:bookmarkEnd w:id="28"/>
      <w:bookmarkEnd w:id="29"/>
      <w:bookmarkEnd w:id="30"/>
      <w:bookmarkEnd w:id="31"/>
      <w:bookmarkEnd w:id="32"/>
      <w:bookmarkEnd w:id="33"/>
      <w:bookmarkEnd w:id="34"/>
      <w:bookmarkEnd w:id="35"/>
      <w:bookmarkEnd w:id="36"/>
      <w:bookmarkEnd w:id="37"/>
      <w:bookmarkEnd w:id="38"/>
      <w:bookmarkEnd w:id="39"/>
      <w:bookmarkEnd w:id="40"/>
    </w:p>
    <w:p>
      <w:pPr>
        <w:pStyle w:val="60"/>
        <w:ind w:firstLine="420"/>
        <w:rPr>
          <w:rFonts w:hAnsi="宋体"/>
          <w:szCs w:val="21"/>
        </w:rPr>
      </w:pPr>
      <w:bookmarkStart w:id="41" w:name="_Hlk148698098"/>
      <w:bookmarkStart w:id="42" w:name="_Toc17233326"/>
      <w:bookmarkStart w:id="43" w:name="_Toc26648466"/>
      <w:bookmarkStart w:id="44" w:name="_Toc24884212"/>
      <w:bookmarkStart w:id="45" w:name="_Toc24884219"/>
      <w:bookmarkStart w:id="46" w:name="_Toc17233334"/>
      <w:r>
        <w:rPr>
          <w:rFonts w:hint="eastAsia" w:hAnsi="宋体"/>
        </w:rPr>
        <w:t>本文件规定了晶硅异质结光伏电池的技术要求、试验方法、检验规则以及包装、标识、储存和运输。</w:t>
      </w:r>
    </w:p>
    <w:p>
      <w:pPr>
        <w:pStyle w:val="60"/>
        <w:ind w:firstLine="420"/>
        <w:rPr>
          <w:rFonts w:hAnsi="宋体"/>
        </w:rPr>
      </w:pPr>
      <w:r>
        <w:rPr>
          <w:rFonts w:hint="eastAsia" w:hAnsi="宋体"/>
        </w:rPr>
        <w:t>本文件适用于以p型或n型单晶硅为衬底材料的晶硅异质结（Silicon Heterojunction photo</w:t>
      </w:r>
      <w:r>
        <w:rPr>
          <w:rFonts w:hAnsi="宋体"/>
        </w:rPr>
        <w:t>voltaic cells</w:t>
      </w:r>
      <w:r>
        <w:rPr>
          <w:rFonts w:hint="eastAsia" w:hAnsi="宋体"/>
        </w:rPr>
        <w:t>，简称SHJ）单晶硅光伏电池，其它类似结构的光伏电池可参考本文件。</w:t>
      </w:r>
    </w:p>
    <w:bookmarkEnd w:id="41"/>
    <w:p>
      <w:pPr>
        <w:pStyle w:val="108"/>
        <w:spacing w:before="240" w:after="240"/>
        <w:rPr>
          <w:rFonts w:hAnsi="黑体"/>
        </w:rPr>
      </w:pPr>
      <w:bookmarkStart w:id="47" w:name="_Toc131168484"/>
      <w:bookmarkStart w:id="48" w:name="_Toc26718931"/>
      <w:bookmarkStart w:id="49" w:name="_Toc147679094"/>
      <w:bookmarkStart w:id="50" w:name="_Toc26986772"/>
      <w:bookmarkStart w:id="51" w:name="_Toc131168573"/>
      <w:bookmarkStart w:id="52" w:name="_Toc26986531"/>
      <w:bookmarkStart w:id="53" w:name="_Toc137224782"/>
      <w:bookmarkStart w:id="54" w:name="_Toc97192965"/>
      <w:r>
        <w:rPr>
          <w:rFonts w:hint="eastAsia" w:hAnsi="黑体"/>
        </w:rPr>
        <w:t>规范性引用文件</w:t>
      </w:r>
      <w:bookmarkEnd w:id="42"/>
      <w:bookmarkEnd w:id="43"/>
      <w:bookmarkEnd w:id="44"/>
      <w:bookmarkEnd w:id="45"/>
      <w:bookmarkEnd w:id="46"/>
      <w:bookmarkEnd w:id="47"/>
      <w:bookmarkEnd w:id="48"/>
      <w:bookmarkEnd w:id="49"/>
      <w:bookmarkEnd w:id="50"/>
      <w:bookmarkEnd w:id="51"/>
      <w:bookmarkEnd w:id="52"/>
      <w:bookmarkEnd w:id="53"/>
      <w:bookmarkEnd w:id="54"/>
    </w:p>
    <w:sdt>
      <w:sdtPr>
        <w:rPr>
          <w:rFonts w:hint="eastAsia" w:hAnsi="宋体"/>
        </w:rPr>
        <w:id w:val="715848253"/>
        <w:placeholder>
          <w:docPart w:val="EE6B9794AD1640EA9DBD414DAE61E224"/>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hAnsi="宋体"/>
        </w:rPr>
      </w:sdtEndPr>
      <w:sdtContent>
        <w:p>
          <w:pPr>
            <w:pStyle w:val="60"/>
            <w:ind w:firstLine="420"/>
            <w:rPr>
              <w:rFonts w:hAnsi="宋体"/>
            </w:rPr>
          </w:pPr>
          <w:r>
            <w:rPr>
              <w:rFonts w:hint="eastAsia" w:hAnsi="宋体"/>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pPr>
        <w:pStyle w:val="60"/>
        <w:ind w:firstLine="420"/>
        <w:rPr>
          <w:rFonts w:hAnsi="宋体"/>
        </w:rPr>
      </w:pPr>
      <w:r>
        <w:rPr>
          <w:rFonts w:hint="eastAsia" w:hAnsi="宋体"/>
        </w:rPr>
        <w:t xml:space="preserve">GB/T 2297 </w:t>
      </w:r>
      <w:r>
        <w:rPr>
          <w:rFonts w:hAnsi="宋体"/>
        </w:rPr>
        <w:t xml:space="preserve"> </w:t>
      </w:r>
      <w:r>
        <w:rPr>
          <w:rFonts w:hint="eastAsia" w:hAnsi="宋体"/>
        </w:rPr>
        <w:t>太阳光伏能源系统术语</w:t>
      </w:r>
    </w:p>
    <w:p>
      <w:pPr>
        <w:pStyle w:val="60"/>
        <w:ind w:firstLine="420"/>
        <w:rPr>
          <w:rFonts w:hAnsi="宋体"/>
        </w:rPr>
      </w:pPr>
      <w:r>
        <w:rPr>
          <w:rFonts w:hint="eastAsia" w:hAnsi="宋体"/>
        </w:rPr>
        <w:t>GB/T 2828.1</w:t>
      </w:r>
      <w:r>
        <w:rPr>
          <w:rFonts w:hint="eastAsia"/>
        </w:rPr>
        <w:t>—</w:t>
      </w:r>
      <w:r>
        <w:rPr>
          <w:rFonts w:hint="eastAsia" w:hAnsi="宋体"/>
        </w:rPr>
        <w:t xml:space="preserve">2012 </w:t>
      </w:r>
      <w:r>
        <w:rPr>
          <w:rFonts w:hAnsi="宋体"/>
        </w:rPr>
        <w:t xml:space="preserve"> </w:t>
      </w:r>
      <w:r>
        <w:rPr>
          <w:rFonts w:hint="eastAsia" w:hAnsi="宋体"/>
        </w:rPr>
        <w:t>计数抽样检验程序</w:t>
      </w:r>
      <w:r>
        <w:rPr>
          <w:rFonts w:hAnsi="宋体"/>
        </w:rPr>
        <w:t xml:space="preserve">  </w:t>
      </w:r>
      <w:r>
        <w:rPr>
          <w:rFonts w:hint="eastAsia" w:hAnsi="宋体"/>
        </w:rPr>
        <w:t>第1部分：按接受质量（AQL）检索的逐批检验抽样计划</w:t>
      </w:r>
    </w:p>
    <w:p>
      <w:pPr>
        <w:pStyle w:val="60"/>
        <w:ind w:firstLine="420"/>
        <w:rPr>
          <w:rFonts w:hAnsi="宋体"/>
        </w:rPr>
      </w:pPr>
      <w:r>
        <w:rPr>
          <w:rFonts w:hint="eastAsia" w:hAnsi="宋体"/>
        </w:rPr>
        <w:t>GB/T 14264</w:t>
      </w:r>
      <w:r>
        <w:rPr>
          <w:rFonts w:hAnsi="宋体"/>
        </w:rPr>
        <w:t xml:space="preserve"> </w:t>
      </w:r>
      <w:r>
        <w:rPr>
          <w:rFonts w:hint="eastAsia" w:hAnsi="宋体"/>
        </w:rPr>
        <w:t xml:space="preserve"> 半导体材料术语</w:t>
      </w:r>
    </w:p>
    <w:p>
      <w:pPr>
        <w:pStyle w:val="60"/>
        <w:ind w:firstLine="420"/>
        <w:rPr>
          <w:rFonts w:hAnsi="宋体"/>
        </w:rPr>
      </w:pPr>
      <w:r>
        <w:rPr>
          <w:rFonts w:hint="eastAsia" w:hAnsi="宋体"/>
        </w:rPr>
        <w:t>GB/T 29195</w:t>
      </w:r>
      <w:r>
        <w:rPr>
          <w:rFonts w:hint="eastAsia"/>
        </w:rPr>
        <w:t>—</w:t>
      </w:r>
      <w:r>
        <w:rPr>
          <w:rFonts w:hAnsi="宋体"/>
        </w:rPr>
        <w:t>2012</w:t>
      </w:r>
      <w:r>
        <w:rPr>
          <w:rFonts w:hint="eastAsia" w:hAnsi="宋体"/>
        </w:rPr>
        <w:t xml:space="preserve"> </w:t>
      </w:r>
      <w:r>
        <w:rPr>
          <w:rFonts w:hAnsi="宋体"/>
        </w:rPr>
        <w:t xml:space="preserve"> </w:t>
      </w:r>
      <w:r>
        <w:rPr>
          <w:rFonts w:hint="eastAsia" w:hAnsi="宋体"/>
        </w:rPr>
        <w:t>地面用晶体硅太阳电池总规范</w:t>
      </w:r>
    </w:p>
    <w:p>
      <w:pPr>
        <w:pStyle w:val="60"/>
        <w:ind w:firstLine="420"/>
        <w:rPr>
          <w:rFonts w:hAnsi="宋体"/>
        </w:rPr>
      </w:pPr>
      <w:r>
        <w:rPr>
          <w:rFonts w:hint="eastAsia" w:hAnsi="宋体"/>
        </w:rPr>
        <w:t>GB/T 30869</w:t>
      </w:r>
      <w:r>
        <w:rPr>
          <w:rFonts w:hAnsi="宋体"/>
        </w:rPr>
        <w:t xml:space="preserve">  </w:t>
      </w:r>
      <w:r>
        <w:rPr>
          <w:rFonts w:hint="eastAsia" w:hAnsi="宋体"/>
        </w:rPr>
        <w:t>太阳能电池用硅片厚度及总厚度变化测试方法</w:t>
      </w:r>
    </w:p>
    <w:p>
      <w:pPr>
        <w:pStyle w:val="60"/>
        <w:ind w:firstLine="420"/>
        <w:rPr>
          <w:rFonts w:hAnsi="宋体"/>
        </w:rPr>
      </w:pPr>
      <w:r>
        <w:rPr>
          <w:rFonts w:hint="eastAsia" w:hAnsi="宋体"/>
        </w:rPr>
        <w:t>SJ/T 11630</w:t>
      </w:r>
      <w:r>
        <w:rPr>
          <w:rFonts w:hAnsi="宋体"/>
        </w:rPr>
        <w:t xml:space="preserve">  </w:t>
      </w:r>
      <w:r>
        <w:rPr>
          <w:rFonts w:hint="eastAsia" w:hAnsi="宋体"/>
        </w:rPr>
        <w:t>太阳能电池用硅片几何尺寸测试方法</w:t>
      </w:r>
    </w:p>
    <w:p>
      <w:pPr>
        <w:pStyle w:val="60"/>
        <w:ind w:firstLine="420"/>
        <w:rPr>
          <w:rFonts w:hAnsi="宋体"/>
        </w:rPr>
      </w:pPr>
      <w:r>
        <w:rPr>
          <w:rFonts w:hint="eastAsia"/>
        </w:rPr>
        <w:t>T/ZZB 0091-2016</w:t>
      </w:r>
      <w:r>
        <w:t xml:space="preserve">  </w:t>
      </w:r>
      <w:r>
        <w:rPr>
          <w:rFonts w:hint="eastAsia"/>
        </w:rPr>
        <w:t>地面用晶体硅光伏组件</w:t>
      </w:r>
    </w:p>
    <w:p>
      <w:pPr>
        <w:pStyle w:val="60"/>
        <w:ind w:firstLine="420"/>
        <w:rPr>
          <w:rFonts w:hAnsi="宋体"/>
        </w:rPr>
      </w:pPr>
      <w:r>
        <w:rPr>
          <w:rFonts w:hAnsi="宋体"/>
        </w:rPr>
        <w:t>IEC 60891：2021</w:t>
      </w:r>
      <w:r>
        <w:rPr>
          <w:rFonts w:hint="eastAsia" w:hAnsi="宋体"/>
        </w:rPr>
        <w:t xml:space="preserve"> </w:t>
      </w:r>
      <w:r>
        <w:rPr>
          <w:rFonts w:hAnsi="宋体"/>
        </w:rPr>
        <w:t xml:space="preserve"> </w:t>
      </w:r>
      <w:r>
        <w:rPr>
          <w:rFonts w:hint="eastAsia" w:hAnsi="宋体"/>
        </w:rPr>
        <w:t>晶体硅光伏器件的I-V实测特性的温度和辐照度修正方法（Photovoltaic devices Procedures for temperature and irradiance corrections to measured I-V characteristics）</w:t>
      </w:r>
    </w:p>
    <w:p>
      <w:pPr>
        <w:pStyle w:val="234"/>
        <w:rPr>
          <w:rFonts w:hAnsi="宋体"/>
        </w:rPr>
      </w:pPr>
      <w:r>
        <w:rPr>
          <w:rFonts w:hAnsi="宋体"/>
        </w:rPr>
        <w:t>IEC 60904</w:t>
      </w:r>
      <w:r>
        <w:rPr>
          <w:rFonts w:hint="eastAsia"/>
        </w:rPr>
        <w:t>—</w:t>
      </w:r>
      <w:r>
        <w:rPr>
          <w:rFonts w:hint="eastAsia" w:hAnsi="宋体"/>
        </w:rPr>
        <w:t>1</w:t>
      </w:r>
      <w:r>
        <w:rPr>
          <w:rFonts w:hAnsi="宋体"/>
          <w:szCs w:val="20"/>
        </w:rPr>
        <w:t>：2020</w:t>
      </w:r>
      <w:r>
        <w:rPr>
          <w:rFonts w:hint="eastAsia" w:hAnsi="宋体"/>
        </w:rPr>
        <w:t xml:space="preserve">  光伏器件  第1部分：光伏电流-电压特性的测量（</w:t>
      </w:r>
      <w:r>
        <w:rPr>
          <w:rFonts w:hAnsi="宋体"/>
        </w:rPr>
        <w:t>Photovoltaic devices - Part 1: Measurement of photovoltaic current-voltage characteristics</w:t>
      </w:r>
      <w:r>
        <w:rPr>
          <w:rFonts w:hint="eastAsia" w:hAnsi="宋体"/>
        </w:rPr>
        <w:t>）</w:t>
      </w:r>
    </w:p>
    <w:p>
      <w:pPr>
        <w:pStyle w:val="234"/>
        <w:adjustRightInd w:val="0"/>
      </w:pPr>
      <w:r>
        <w:rPr>
          <w:rFonts w:hAnsi="宋体"/>
        </w:rPr>
        <w:t>IEC 60904</w:t>
      </w:r>
      <w:r>
        <w:rPr>
          <w:rFonts w:hint="eastAsia"/>
        </w:rPr>
        <w:t>—</w:t>
      </w:r>
      <w:r>
        <w:rPr>
          <w:rFonts w:hint="eastAsia" w:hAnsi="宋体"/>
        </w:rPr>
        <w:t>1</w:t>
      </w:r>
      <w:r>
        <w:rPr>
          <w:rFonts w:hint="eastAsia"/>
        </w:rPr>
        <w:t>—</w:t>
      </w:r>
      <w:r>
        <w:rPr>
          <w:rFonts w:hAnsi="宋体"/>
        </w:rPr>
        <w:t>2</w:t>
      </w:r>
      <w:r>
        <w:rPr>
          <w:rFonts w:hint="eastAsia" w:hAnsi="宋体"/>
        </w:rPr>
        <w:t>：2</w:t>
      </w:r>
      <w:r>
        <w:rPr>
          <w:rFonts w:hAnsi="宋体"/>
        </w:rPr>
        <w:t xml:space="preserve">019  </w:t>
      </w:r>
      <w:r>
        <w:rPr>
          <w:rFonts w:hint="eastAsia" w:hAnsi="宋体"/>
        </w:rPr>
        <w:t>光伏器件  第1</w:t>
      </w:r>
      <w:r>
        <w:rPr>
          <w:rFonts w:hAnsi="宋体"/>
        </w:rPr>
        <w:t>-2</w:t>
      </w:r>
      <w:r>
        <w:rPr>
          <w:rFonts w:hint="eastAsia" w:hAnsi="宋体"/>
        </w:rPr>
        <w:t>部分：双面光伏(PV)器件电流-电压特性的测量（</w:t>
      </w:r>
      <w:r>
        <w:rPr>
          <w:rFonts w:hAnsi="宋体"/>
        </w:rPr>
        <w:t>Photovoltaic devices-Part 1: Measurement of photovoltaic current-voltage characteristics</w:t>
      </w:r>
      <w:r>
        <w:rPr>
          <w:rFonts w:hint="eastAsia" w:hAnsi="宋体"/>
        </w:rPr>
        <w:t>）</w:t>
      </w:r>
    </w:p>
    <w:p>
      <w:pPr>
        <w:pStyle w:val="60"/>
        <w:ind w:firstLine="420"/>
        <w:rPr>
          <w:rFonts w:hAnsi="宋体"/>
        </w:rPr>
      </w:pPr>
      <w:r>
        <w:rPr>
          <w:rFonts w:hint="eastAsia" w:hAnsi="宋体"/>
        </w:rPr>
        <w:t>IEC</w:t>
      </w:r>
      <w:r>
        <w:rPr>
          <w:rFonts w:hAnsi="宋体"/>
        </w:rPr>
        <w:t xml:space="preserve"> </w:t>
      </w:r>
      <w:r>
        <w:rPr>
          <w:rFonts w:hint="eastAsia" w:hAnsi="宋体"/>
        </w:rPr>
        <w:t>61215</w:t>
      </w:r>
      <w:r>
        <w:rPr>
          <w:rFonts w:hint="eastAsia"/>
        </w:rPr>
        <w:t>—</w:t>
      </w:r>
      <w:r>
        <w:rPr>
          <w:rFonts w:hint="eastAsia" w:hAnsi="宋体"/>
        </w:rPr>
        <w:t>1</w:t>
      </w:r>
      <w:r>
        <w:rPr>
          <w:rFonts w:hint="eastAsia"/>
        </w:rPr>
        <w:t>—</w:t>
      </w:r>
      <w:r>
        <w:rPr>
          <w:rFonts w:hint="eastAsia" w:hAnsi="宋体"/>
        </w:rPr>
        <w:t>1:20</w:t>
      </w:r>
      <w:r>
        <w:rPr>
          <w:rFonts w:hAnsi="宋体"/>
        </w:rPr>
        <w:t>21</w:t>
      </w:r>
      <w:r>
        <w:rPr>
          <w:rFonts w:hint="eastAsia" w:hAnsi="宋体"/>
        </w:rPr>
        <w:t xml:space="preserve"> </w:t>
      </w:r>
      <w:r>
        <w:rPr>
          <w:rFonts w:hAnsi="宋体"/>
        </w:rPr>
        <w:t xml:space="preserve"> </w:t>
      </w:r>
      <w:r>
        <w:rPr>
          <w:rFonts w:hint="eastAsia" w:hAnsi="宋体"/>
        </w:rPr>
        <w:t xml:space="preserve">地面光伏（PV）模块 </w:t>
      </w:r>
      <w:r>
        <w:rPr>
          <w:rFonts w:hAnsi="宋体"/>
        </w:rPr>
        <w:t xml:space="preserve"> </w:t>
      </w:r>
      <w:r>
        <w:rPr>
          <w:rFonts w:hint="eastAsia" w:hAnsi="宋体"/>
        </w:rPr>
        <w:t>设计资格和类型批准  第1-1部分：试验晶体硅光伏（PV）模块的特殊要求（Terrestrial photovoltaic (PV) modules-Design qualification and type approval</w:t>
      </w:r>
      <w:r>
        <w:rPr>
          <w:rFonts w:hAnsi="宋体"/>
        </w:rPr>
        <w:t>-</w:t>
      </w:r>
      <w:r>
        <w:rPr>
          <w:rFonts w:hint="eastAsia" w:hAnsi="宋体"/>
        </w:rPr>
        <w:t>Part</w:t>
      </w:r>
      <w:r>
        <w:rPr>
          <w:rFonts w:hAnsi="宋体"/>
        </w:rPr>
        <w:t xml:space="preserve"> </w:t>
      </w:r>
      <w:r>
        <w:rPr>
          <w:rFonts w:hint="eastAsia" w:hAnsi="宋体"/>
        </w:rPr>
        <w:t>1</w:t>
      </w:r>
      <w:r>
        <w:rPr>
          <w:rFonts w:hint="eastAsia"/>
        </w:rPr>
        <w:t>—</w:t>
      </w:r>
      <w:r>
        <w:rPr>
          <w:rFonts w:hint="eastAsia" w:hAnsi="宋体"/>
        </w:rPr>
        <w:t>1: Special requirements for testing of crystalline silicon photovoltaic (PV) modules）</w:t>
      </w:r>
    </w:p>
    <w:p>
      <w:pPr>
        <w:pStyle w:val="60"/>
        <w:ind w:firstLine="420"/>
        <w:rPr>
          <w:rFonts w:hAnsi="宋体"/>
        </w:rPr>
      </w:pPr>
      <w:r>
        <w:rPr>
          <w:rFonts w:hint="eastAsia" w:hAnsi="宋体"/>
        </w:rPr>
        <w:t>IEC</w:t>
      </w:r>
      <w:r>
        <w:rPr>
          <w:rFonts w:hAnsi="宋体"/>
        </w:rPr>
        <w:t xml:space="preserve"> </w:t>
      </w:r>
      <w:r>
        <w:rPr>
          <w:rFonts w:hint="eastAsia" w:hAnsi="宋体"/>
        </w:rPr>
        <w:t>61215</w:t>
      </w:r>
      <w:r>
        <w:rPr>
          <w:rFonts w:hint="eastAsia"/>
        </w:rPr>
        <w:t>—</w:t>
      </w:r>
      <w:r>
        <w:rPr>
          <w:rFonts w:hint="eastAsia" w:hAnsi="宋体"/>
        </w:rPr>
        <w:t>2:2</w:t>
      </w:r>
      <w:r>
        <w:rPr>
          <w:rFonts w:hAnsi="宋体"/>
        </w:rPr>
        <w:t xml:space="preserve">021 </w:t>
      </w:r>
      <w:r>
        <w:rPr>
          <w:rFonts w:hint="eastAsia" w:hAnsi="宋体"/>
        </w:rPr>
        <w:t xml:space="preserve"> 地面光伏（PV）模块 </w:t>
      </w:r>
      <w:r>
        <w:rPr>
          <w:rFonts w:hAnsi="宋体"/>
        </w:rPr>
        <w:t xml:space="preserve"> </w:t>
      </w:r>
      <w:r>
        <w:rPr>
          <w:rFonts w:hint="eastAsia" w:hAnsi="宋体"/>
        </w:rPr>
        <w:t xml:space="preserve">设计资格和类型批准 </w:t>
      </w:r>
      <w:r>
        <w:rPr>
          <w:rFonts w:hAnsi="宋体"/>
        </w:rPr>
        <w:t xml:space="preserve"> </w:t>
      </w:r>
      <w:r>
        <w:rPr>
          <w:rFonts w:hint="eastAsia" w:hAnsi="宋体"/>
        </w:rPr>
        <w:t xml:space="preserve">第2部分：试验程序（Terrestrial </w:t>
      </w:r>
      <w:bookmarkStart w:id="134" w:name="_GoBack"/>
      <w:bookmarkEnd w:id="134"/>
      <w:r>
        <w:rPr>
          <w:rFonts w:hint="eastAsia" w:hAnsi="宋体"/>
        </w:rPr>
        <w:t>photovoltaic (PV) modules- Design qualification and type approval-Part 2: Test procedures）</w:t>
      </w:r>
    </w:p>
    <w:p>
      <w:pPr>
        <w:pStyle w:val="234"/>
        <w:rPr>
          <w:rFonts w:hAnsi="宋体"/>
        </w:rPr>
      </w:pPr>
      <w:r>
        <w:rPr>
          <w:rFonts w:hint="eastAsia"/>
        </w:rPr>
        <w:t>IEC 63202—1</w:t>
      </w:r>
      <w:r>
        <w:rPr>
          <w:rFonts w:hAnsi="宋体"/>
          <w:szCs w:val="20"/>
        </w:rPr>
        <w:t>：2019</w:t>
      </w:r>
      <w:r>
        <w:rPr>
          <w:rFonts w:hint="eastAsia"/>
        </w:rPr>
        <w:t xml:space="preserve">  光伏电池</w:t>
      </w:r>
      <w:r>
        <w:rPr>
          <w:rFonts w:hAnsi="宋体"/>
        </w:rPr>
        <w:t xml:space="preserve">  </w:t>
      </w:r>
      <w:r>
        <w:rPr>
          <w:rFonts w:hint="eastAsia"/>
        </w:rPr>
        <w:t>第1部分：晶体硅光伏电池的光诱导衰减的测试（</w:t>
      </w:r>
      <w:r>
        <w:t>P</w:t>
      </w:r>
      <w:r>
        <w:rPr>
          <w:rFonts w:hAnsi="宋体"/>
        </w:rPr>
        <w:t>hotovoltaic cells-Part 1: Measurement of light-induced degradation of crystalline silicon photovoltaic cells</w:t>
      </w:r>
      <w:r>
        <w:rPr>
          <w:rFonts w:hint="eastAsia" w:hAnsi="宋体"/>
        </w:rPr>
        <w:t>）</w:t>
      </w:r>
    </w:p>
    <w:p>
      <w:pPr>
        <w:pStyle w:val="234"/>
        <w:rPr>
          <w:rFonts w:hAnsi="宋体"/>
        </w:rPr>
      </w:pPr>
      <w:r>
        <w:rPr>
          <w:rFonts w:hAnsi="宋体"/>
        </w:rPr>
        <w:t>IEC TS 63202</w:t>
      </w:r>
      <w:r>
        <w:rPr>
          <w:rFonts w:hint="eastAsia"/>
        </w:rPr>
        <w:t>—</w:t>
      </w:r>
      <w:r>
        <w:rPr>
          <w:rFonts w:hAnsi="宋体"/>
        </w:rPr>
        <w:t>2:2021  光伏电池  第2部分：晶体硅太阳能电池的电致发光成像</w:t>
      </w:r>
      <w:r>
        <w:rPr>
          <w:rFonts w:hint="eastAsia" w:hAnsi="宋体"/>
        </w:rPr>
        <w:t>（</w:t>
      </w:r>
      <w:r>
        <w:rPr>
          <w:rFonts w:hAnsi="宋体"/>
        </w:rPr>
        <w:t>Photovoltaic cells-Part 2: Electroluminescence imaging of crystalline silicon solar cells</w:t>
      </w:r>
      <w:r>
        <w:rPr>
          <w:rFonts w:hint="eastAsia" w:hAnsi="宋体"/>
        </w:rPr>
        <w:t>）</w:t>
      </w:r>
    </w:p>
    <w:p>
      <w:pPr>
        <w:pStyle w:val="234"/>
        <w:rPr>
          <w:rFonts w:hAnsi="宋体"/>
        </w:rPr>
      </w:pPr>
      <w:r>
        <w:rPr>
          <w:rFonts w:hAnsi="宋体"/>
        </w:rPr>
        <w:t>IEC TS 63202</w:t>
      </w:r>
      <w:r>
        <w:rPr>
          <w:rFonts w:hint="eastAsia"/>
        </w:rPr>
        <w:t>—</w:t>
      </w:r>
      <w:r>
        <w:rPr>
          <w:rFonts w:hAnsi="宋体"/>
        </w:rPr>
        <w:t>3：2023  光伏电池  第3部分：双面光伏电池的电流电压特性的</w:t>
      </w:r>
      <w:r>
        <w:rPr>
          <w:rFonts w:hint="eastAsia" w:hAnsi="宋体"/>
        </w:rPr>
        <w:t>测试（</w:t>
      </w:r>
      <w:r>
        <w:rPr>
          <w:rFonts w:hAnsi="宋体"/>
        </w:rPr>
        <w:t>Photovoltaic cells-Part 3: Measurement of current-voltage characteristics of bifacial photovoltaic cells</w:t>
      </w:r>
      <w:r>
        <w:rPr>
          <w:rFonts w:hint="eastAsia" w:hAnsi="宋体"/>
        </w:rPr>
        <w:t>）</w:t>
      </w:r>
    </w:p>
    <w:p>
      <w:pPr>
        <w:pStyle w:val="60"/>
        <w:ind w:firstLine="420"/>
        <w:rPr>
          <w:rFonts w:hAnsi="宋体"/>
        </w:rPr>
      </w:pPr>
      <w:r>
        <w:rPr>
          <w:rFonts w:hint="eastAsia" w:hAnsi="宋体"/>
        </w:rPr>
        <w:t>IEC TS 63202</w:t>
      </w:r>
      <w:r>
        <w:rPr>
          <w:rFonts w:hint="eastAsia"/>
        </w:rPr>
        <w:t>—</w:t>
      </w:r>
      <w:r>
        <w:rPr>
          <w:rFonts w:hint="eastAsia" w:hAnsi="宋体"/>
        </w:rPr>
        <w:t>4：2022</w:t>
      </w:r>
      <w:r>
        <w:rPr>
          <w:rFonts w:hAnsi="宋体"/>
        </w:rPr>
        <w:t xml:space="preserve">  光伏电池  第4部分：晶体硅光伏电池</w:t>
      </w:r>
      <w:r>
        <w:rPr>
          <w:rFonts w:hint="eastAsia" w:hAnsi="宋体"/>
        </w:rPr>
        <w:t>热辅光</w:t>
      </w:r>
      <w:r>
        <w:rPr>
          <w:rFonts w:hAnsi="宋体"/>
        </w:rPr>
        <w:t>诱导</w:t>
      </w:r>
      <w:r>
        <w:rPr>
          <w:rFonts w:hint="eastAsia" w:hAnsi="宋体"/>
        </w:rPr>
        <w:t>衰减</w:t>
      </w:r>
      <w:r>
        <w:rPr>
          <w:rFonts w:hAnsi="宋体"/>
        </w:rPr>
        <w:t>的</w:t>
      </w:r>
      <w:r>
        <w:rPr>
          <w:rFonts w:hint="eastAsia" w:hAnsi="宋体"/>
        </w:rPr>
        <w:t>测试（</w:t>
      </w:r>
      <w:r>
        <w:rPr>
          <w:rFonts w:hAnsi="宋体"/>
        </w:rPr>
        <w:t>Photovoltaic cells - Part 4: Measurement of light and elevated temperature induced degradation of crystalline silicon photovoltaic cells</w:t>
      </w:r>
      <w:r>
        <w:rPr>
          <w:rFonts w:hint="eastAsia" w:hAnsi="宋体"/>
        </w:rPr>
        <w:t>）</w:t>
      </w:r>
    </w:p>
    <w:p>
      <w:pPr>
        <w:jc w:val="right"/>
      </w:pPr>
    </w:p>
    <w:p>
      <w:pPr>
        <w:pStyle w:val="108"/>
        <w:spacing w:before="240" w:after="240"/>
        <w:rPr>
          <w:rFonts w:hAnsi="黑体"/>
          <w:szCs w:val="21"/>
        </w:rPr>
      </w:pPr>
      <w:bookmarkStart w:id="55" w:name="_Toc131168485"/>
      <w:bookmarkStart w:id="56" w:name="_Toc147679095"/>
      <w:bookmarkStart w:id="57" w:name="_Toc131168574"/>
      <w:bookmarkStart w:id="58" w:name="_Toc97192966"/>
      <w:bookmarkStart w:id="59" w:name="_Toc137224783"/>
      <w:r>
        <w:rPr>
          <w:rFonts w:hint="eastAsia" w:hAnsi="黑体"/>
          <w:szCs w:val="21"/>
        </w:rPr>
        <w:t>术语和定义</w:t>
      </w:r>
      <w:bookmarkEnd w:id="55"/>
      <w:bookmarkEnd w:id="56"/>
      <w:bookmarkEnd w:id="57"/>
      <w:bookmarkEnd w:id="58"/>
      <w:bookmarkEnd w:id="59"/>
    </w:p>
    <w:p>
      <w:pPr>
        <w:pStyle w:val="60"/>
        <w:ind w:firstLine="420"/>
        <w:rPr>
          <w:rFonts w:hAnsi="宋体"/>
          <w:szCs w:val="21"/>
        </w:rPr>
      </w:pPr>
      <w:r>
        <w:rPr>
          <w:rFonts w:hint="eastAsia" w:hAnsi="宋体"/>
        </w:rPr>
        <w:t>GB/T 2297、GB/T 14264、GB/T 29195界定的以及下列术语和定义适用于本文件。</w:t>
      </w:r>
    </w:p>
    <w:p>
      <w:pPr>
        <w:pStyle w:val="227"/>
        <w:ind w:left="420" w:hanging="420" w:hangingChars="200"/>
        <w:rPr>
          <w:rFonts w:ascii="黑体" w:hAnsi="黑体" w:eastAsia="黑体"/>
        </w:rPr>
      </w:pPr>
      <w:r>
        <w:rPr>
          <w:rFonts w:ascii="黑体" w:hAnsi="黑体" w:eastAsia="黑体"/>
        </w:rPr>
        <w:br w:type="textWrapping"/>
      </w:r>
      <w:r>
        <w:rPr>
          <w:rFonts w:hint="eastAsia" w:ascii="黑体" w:hAnsi="黑体" w:eastAsia="黑体"/>
        </w:rPr>
        <w:t>p型/n型光伏电池</w:t>
      </w:r>
      <w:r>
        <w:rPr>
          <w:rFonts w:ascii="黑体" w:hAnsi="黑体" w:eastAsia="黑体"/>
        </w:rPr>
        <w:t xml:space="preserve"> p-type/n-type photovoltaic cells</w:t>
      </w:r>
    </w:p>
    <w:p>
      <w:pPr>
        <w:pStyle w:val="60"/>
        <w:ind w:firstLine="420"/>
        <w:rPr>
          <w:rFonts w:hAnsi="宋体"/>
        </w:rPr>
      </w:pPr>
      <w:r>
        <w:rPr>
          <w:rFonts w:hint="eastAsia" w:hAnsi="宋体"/>
        </w:rPr>
        <w:t>以p型/n型硅为衬底的光伏电池。</w:t>
      </w:r>
    </w:p>
    <w:p>
      <w:pPr>
        <w:pStyle w:val="227"/>
        <w:ind w:left="420" w:hanging="420" w:hangingChars="200"/>
        <w:rPr>
          <w:rFonts w:ascii="黑体" w:hAnsi="黑体" w:eastAsia="黑体"/>
        </w:rPr>
      </w:pPr>
      <w:r>
        <w:rPr>
          <w:rFonts w:ascii="黑体" w:hAnsi="黑体" w:eastAsia="黑体"/>
        </w:rPr>
        <w:br w:type="textWrapping"/>
      </w:r>
      <w:r>
        <w:rPr>
          <w:rFonts w:hint="eastAsia" w:ascii="黑体" w:hAnsi="黑体" w:eastAsia="黑体"/>
        </w:rPr>
        <w:t>晶硅异质结光伏电池  silicon Heterojunction Solar Cells</w:t>
      </w:r>
    </w:p>
    <w:p>
      <w:pPr>
        <w:pStyle w:val="60"/>
        <w:ind w:firstLine="420"/>
        <w:rPr>
          <w:rFonts w:hAnsi="宋体"/>
        </w:rPr>
      </w:pPr>
      <w:r>
        <w:rPr>
          <w:rFonts w:hint="eastAsia" w:hAnsi="宋体"/>
        </w:rPr>
        <w:t>由掺杂非晶硅/微晶硅薄膜发射区及背场区、极薄硅薄膜本征层和晶体硅基区构成的p型/n型异质结电池。</w:t>
      </w:r>
    </w:p>
    <w:p>
      <w:pPr>
        <w:pStyle w:val="227"/>
        <w:ind w:left="420" w:hanging="420" w:hangingChars="200"/>
        <w:rPr>
          <w:rFonts w:ascii="黑体" w:hAnsi="黑体" w:eastAsia="黑体"/>
        </w:rPr>
      </w:pPr>
      <w:r>
        <w:rPr>
          <w:rFonts w:ascii="黑体" w:hAnsi="黑体" w:eastAsia="黑体"/>
        </w:rPr>
        <w:br w:type="textWrapping"/>
      </w:r>
      <w:r>
        <w:rPr>
          <w:rFonts w:hint="eastAsia" w:ascii="黑体" w:hAnsi="黑体" w:eastAsia="黑体"/>
        </w:rPr>
        <w:t>双面率  bifaciality</w:t>
      </w:r>
      <w:r>
        <w:rPr>
          <w:rFonts w:ascii="Arial-BoldMT" w:hAnsi="Arial-BoldMT" w:cs="Arial-BoldMT"/>
          <w:b/>
          <w:bCs/>
          <w:sz w:val="20"/>
        </w:rPr>
        <w:t xml:space="preserve"> </w:t>
      </w:r>
    </w:p>
    <w:p>
      <w:pPr>
        <w:pStyle w:val="60"/>
        <w:ind w:firstLine="420"/>
        <w:rPr>
          <w:rFonts w:hAnsi="宋体"/>
        </w:rPr>
      </w:pPr>
      <w:r>
        <w:rPr>
          <w:rFonts w:hint="eastAsia" w:hAnsi="宋体"/>
        </w:rPr>
        <w:t>S</w:t>
      </w:r>
      <w:r>
        <w:rPr>
          <w:rFonts w:hAnsi="宋体"/>
        </w:rPr>
        <w:t>TC</w:t>
      </w:r>
      <w:r>
        <w:rPr>
          <w:rFonts w:hint="eastAsia" w:hAnsi="宋体"/>
        </w:rPr>
        <w:t>条件下测试I</w:t>
      </w:r>
      <w:r>
        <w:rPr>
          <w:rFonts w:hAnsi="宋体"/>
        </w:rPr>
        <w:t>-V</w:t>
      </w:r>
      <w:r>
        <w:rPr>
          <w:rFonts w:hint="eastAsia" w:hAnsi="宋体"/>
        </w:rPr>
        <w:t>性能所得的电池背面转换效率与电池正面转换效率的比值。</w:t>
      </w:r>
    </w:p>
    <w:p>
      <w:pPr>
        <w:pStyle w:val="108"/>
        <w:spacing w:before="240" w:after="240"/>
        <w:rPr>
          <w:szCs w:val="21"/>
        </w:rPr>
      </w:pPr>
      <w:bookmarkStart w:id="60" w:name="_Toc147679096"/>
      <w:bookmarkStart w:id="61" w:name="_Toc137224784"/>
      <w:bookmarkStart w:id="62" w:name="_Toc131168486"/>
      <w:bookmarkStart w:id="63" w:name="_Toc131168575"/>
      <w:r>
        <w:rPr>
          <w:rFonts w:hint="eastAsia"/>
        </w:rPr>
        <w:t>技术要求</w:t>
      </w:r>
      <w:bookmarkEnd w:id="60"/>
      <w:bookmarkEnd w:id="61"/>
      <w:bookmarkEnd w:id="62"/>
      <w:bookmarkEnd w:id="63"/>
    </w:p>
    <w:p>
      <w:pPr>
        <w:pStyle w:val="109"/>
        <w:spacing w:before="120" w:after="120"/>
      </w:pPr>
      <w:bookmarkStart w:id="64" w:name="_Toc137224785"/>
      <w:bookmarkStart w:id="65" w:name="_Toc147679097"/>
      <w:bookmarkStart w:id="66" w:name="_Toc131168576"/>
      <w:r>
        <w:rPr>
          <w:rFonts w:hint="eastAsia"/>
        </w:rPr>
        <w:t>外观</w:t>
      </w:r>
      <w:bookmarkEnd w:id="64"/>
      <w:bookmarkEnd w:id="65"/>
      <w:bookmarkEnd w:id="66"/>
    </w:p>
    <w:p>
      <w:pPr>
        <w:pStyle w:val="234"/>
        <w:rPr>
          <w:rFonts w:hAnsi="宋体"/>
        </w:rPr>
      </w:pPr>
      <w:r>
        <w:rPr>
          <w:rFonts w:hint="eastAsia" w:hAnsi="宋体"/>
        </w:rPr>
        <w:t>电池的外观应符合附录A的规定。</w:t>
      </w:r>
    </w:p>
    <w:p>
      <w:pPr>
        <w:pStyle w:val="109"/>
        <w:spacing w:before="120" w:after="120"/>
      </w:pPr>
      <w:bookmarkStart w:id="67" w:name="_Toc131168577"/>
      <w:bookmarkStart w:id="68" w:name="_Toc147679098"/>
      <w:bookmarkStart w:id="69" w:name="_Toc137224786"/>
      <w:r>
        <w:rPr>
          <w:rFonts w:hint="eastAsia"/>
        </w:rPr>
        <w:t>电性能</w:t>
      </w:r>
      <w:bookmarkEnd w:id="67"/>
      <w:bookmarkEnd w:id="68"/>
      <w:bookmarkEnd w:id="69"/>
    </w:p>
    <w:p>
      <w:pPr>
        <w:pStyle w:val="69"/>
        <w:spacing w:before="120" w:after="120"/>
        <w:ind w:left="0"/>
      </w:pPr>
      <w:r>
        <w:rPr>
          <w:rFonts w:hint="eastAsia"/>
        </w:rPr>
        <w:t>电性能参数</w:t>
      </w:r>
    </w:p>
    <w:p>
      <w:pPr>
        <w:pStyle w:val="168"/>
        <w:ind w:left="0"/>
      </w:pPr>
      <w:r>
        <w:rPr>
          <w:rFonts w:hint="eastAsia"/>
        </w:rPr>
        <w:t>电性能参数应包括但不限于开路电压、短路电流、填充因子、最大功率、转换效率、低辐照度性能。</w:t>
      </w:r>
    </w:p>
    <w:p>
      <w:pPr>
        <w:pStyle w:val="168"/>
        <w:ind w:left="0"/>
      </w:pPr>
      <w:r>
        <w:rPr>
          <w:rFonts w:hint="eastAsia"/>
        </w:rPr>
        <w:t>反向漏电流应不超过0.5</w:t>
      </w:r>
      <w:r>
        <w:t xml:space="preserve"> </w:t>
      </w:r>
      <w:r>
        <w:rPr>
          <w:rFonts w:hint="eastAsia"/>
        </w:rPr>
        <w:t>A（反向电压-</w:t>
      </w:r>
      <w:r>
        <w:t>12 V</w:t>
      </w:r>
      <w:r>
        <w:rPr>
          <w:rFonts w:hint="eastAsia"/>
        </w:rPr>
        <w:t>），并联电阻Rsh＞50</w:t>
      </w:r>
      <w:r>
        <w:t xml:space="preserve"> </w:t>
      </w:r>
      <w:r>
        <w:rPr>
          <w:rFonts w:hint="eastAsia"/>
        </w:rPr>
        <w:t>Ω。</w:t>
      </w:r>
    </w:p>
    <w:p>
      <w:pPr>
        <w:pStyle w:val="69"/>
        <w:spacing w:before="120" w:after="120"/>
        <w:ind w:left="0"/>
      </w:pPr>
      <w:r>
        <w:rPr>
          <w:rFonts w:hint="eastAsia"/>
        </w:rPr>
        <w:t>温度系数</w:t>
      </w:r>
    </w:p>
    <w:p>
      <w:pPr>
        <w:pStyle w:val="168"/>
        <w:ind w:left="0"/>
      </w:pPr>
      <w:r>
        <w:rPr>
          <w:rFonts w:hint="eastAsia"/>
        </w:rPr>
        <w:t>温度系数应包括短路电流温度系数α、开路电压温度系数β和最大功率温度系数γ。</w:t>
      </w:r>
    </w:p>
    <w:p>
      <w:pPr>
        <w:pStyle w:val="168"/>
        <w:ind w:left="0"/>
      </w:pPr>
      <w:r>
        <w:rPr>
          <w:rFonts w:hint="eastAsia"/>
        </w:rPr>
        <w:t>短路电流温度系数α≥</w:t>
      </w:r>
      <w:r>
        <w:t xml:space="preserve">0.01 </w:t>
      </w:r>
      <w:r>
        <w:rPr>
          <w:rFonts w:hint="eastAsia"/>
        </w:rPr>
        <w:t>%/℃；开路电压温度系数β≤-0.</w:t>
      </w:r>
      <w:r>
        <w:t xml:space="preserve">29 </w:t>
      </w:r>
      <w:r>
        <w:rPr>
          <w:rFonts w:hint="eastAsia"/>
        </w:rPr>
        <w:t>%/℃；最大功率</w:t>
      </w:r>
      <w:r>
        <w:rPr>
          <w:rFonts w:hint="eastAsia" w:hAnsi="宋体"/>
        </w:rPr>
        <w:t>温度系数</w:t>
      </w:r>
      <w:r>
        <w:rPr>
          <w:rFonts w:hint="eastAsia"/>
        </w:rPr>
        <w:t>γ≤-0.</w:t>
      </w:r>
      <w:r>
        <w:t>30</w:t>
      </w:r>
      <w:r>
        <w:rPr>
          <w:rFonts w:hint="eastAsia"/>
        </w:rPr>
        <w:t>%/℃。</w:t>
      </w:r>
    </w:p>
    <w:p>
      <w:pPr>
        <w:pStyle w:val="168"/>
        <w:numPr>
          <w:ilvl w:val="0"/>
          <w:numId w:val="0"/>
        </w:numPr>
        <w:rPr>
          <w:sz w:val="18"/>
          <w:szCs w:val="18"/>
        </w:rPr>
      </w:pPr>
      <w:r>
        <w:rPr>
          <w:rFonts w:hint="eastAsia" w:ascii="黑体" w:hAnsi="黑体" w:eastAsia="黑体"/>
          <w:sz w:val="18"/>
          <w:szCs w:val="18"/>
        </w:rPr>
        <w:t>注：</w:t>
      </w:r>
      <w:r>
        <w:rPr>
          <w:rFonts w:hint="eastAsia"/>
          <w:sz w:val="18"/>
          <w:szCs w:val="18"/>
        </w:rPr>
        <w:t>具体数值范围可由供需双方约定。</w:t>
      </w:r>
    </w:p>
    <w:p>
      <w:pPr>
        <w:pStyle w:val="69"/>
        <w:spacing w:before="120" w:after="120"/>
        <w:ind w:left="0"/>
      </w:pPr>
      <w:r>
        <w:rPr>
          <w:rFonts w:hint="eastAsia"/>
        </w:rPr>
        <w:t>最大功率（P</w:t>
      </w:r>
      <w:r>
        <w:rPr>
          <w:vertAlign w:val="subscript"/>
        </w:rPr>
        <w:t>max</w:t>
      </w:r>
      <w:r>
        <w:rPr>
          <w:rFonts w:hint="eastAsia"/>
        </w:rPr>
        <w:t>）初始光致衰减比率</w:t>
      </w:r>
    </w:p>
    <w:p>
      <w:pPr>
        <w:pStyle w:val="168"/>
        <w:ind w:left="0"/>
      </w:pPr>
      <w:r>
        <w:rPr>
          <w:rFonts w:hint="eastAsia"/>
        </w:rPr>
        <w:t>电池最大功率初始光致衰减比率应不超过</w:t>
      </w:r>
      <w:r>
        <w:t xml:space="preserve">1 </w:t>
      </w:r>
      <w:r>
        <w:rPr>
          <w:rFonts w:hint="eastAsia"/>
        </w:rPr>
        <w:t>%。</w:t>
      </w:r>
    </w:p>
    <w:p>
      <w:pPr>
        <w:pStyle w:val="168"/>
        <w:ind w:left="0"/>
      </w:pPr>
      <w:r>
        <w:rPr>
          <w:rFonts w:hint="eastAsia"/>
        </w:rPr>
        <w:t>电池最大功率初始光致衰减比率由5</w:t>
      </w:r>
      <w:r>
        <w:t>.2</w:t>
      </w:r>
      <w:r>
        <w:rPr>
          <w:rFonts w:hint="eastAsia"/>
        </w:rPr>
        <w:t>.</w:t>
      </w:r>
      <w:r>
        <w:t>3</w:t>
      </w:r>
      <w:r>
        <w:rPr>
          <w:rFonts w:hint="eastAsia"/>
        </w:rPr>
        <w:t>试验前后的电性能参数对比得到，按式（1）进行计算：</w:t>
      </w:r>
    </w:p>
    <w:p>
      <w:pPr>
        <w:pStyle w:val="234"/>
        <w:rPr>
          <w:rFonts w:hAnsi="宋体"/>
        </w:rPr>
      </w:pPr>
    </w:p>
    <w:p>
      <w:pPr>
        <w:pStyle w:val="117"/>
      </w:pPr>
      <w:r>
        <w:rPr>
          <w:rFonts w:hint="eastAsia"/>
        </w:rPr>
        <w:tab/>
      </w:r>
      <m:oMath>
        <m:r>
          <m:rPr/>
          <w:rPr>
            <w:rFonts w:hint="eastAsia" w:ascii="Cambria Math" w:hAnsi="Cambria Math"/>
          </w:rPr>
          <m:t>△</m:t>
        </m:r>
        <m:box>
          <m:boxPr>
            <m:opEmu m:val="1"/>
            <m:ctrlPr>
              <w:rPr>
                <w:rFonts w:ascii="Cambria Math" w:hAnsi="Cambria Math"/>
                <w:i/>
              </w:rPr>
            </m:ctrlPr>
          </m:boxPr>
          <m:e>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max.before</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max.after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max.before</m:t>
                    </m:r>
                    <m:ctrlPr>
                      <w:rPr>
                        <w:rFonts w:ascii="Cambria Math" w:hAnsi="Cambria Math"/>
                        <w:i/>
                      </w:rPr>
                    </m:ctrlPr>
                  </m:sub>
                </m:sSub>
                <m:ctrlPr>
                  <w:rPr>
                    <w:rFonts w:ascii="Cambria Math" w:hAnsi="Cambria Math"/>
                    <w:i/>
                  </w:rPr>
                </m:ctrlPr>
              </m:den>
            </m:f>
            <m:ctrlPr>
              <w:rPr>
                <w:rFonts w:ascii="Cambria Math" w:hAnsi="Cambria Math"/>
                <w:i/>
              </w:rPr>
            </m:ctrlPr>
          </m:e>
        </m:box>
        <m:r>
          <m:rPr/>
          <w:rPr>
            <w:rFonts w:ascii="Cambria Math" w:hAnsi="Cambria Math"/>
          </w:rPr>
          <m:t>×100%</m:t>
        </m:r>
      </m:oMath>
      <w:r>
        <w:rPr>
          <w:rFonts w:hint="eastAsia"/>
        </w:rPr>
        <w:tab/>
      </w:r>
      <w:r>
        <w:rPr>
          <w:rFonts w:hint="eastAsia"/>
        </w:rPr>
        <w:t>（1）</w:t>
      </w:r>
    </w:p>
    <w:p>
      <w:pPr>
        <w:pStyle w:val="234"/>
        <w:rPr>
          <w:rFonts w:hAnsi="宋体"/>
        </w:rPr>
      </w:pPr>
      <w:r>
        <w:rPr>
          <w:rFonts w:hint="eastAsia" w:hAnsi="宋体"/>
        </w:rPr>
        <w:t>式中：</w:t>
      </w:r>
    </w:p>
    <w:p>
      <w:pPr>
        <w:pStyle w:val="234"/>
        <w:tabs>
          <w:tab w:val="left" w:pos="1470"/>
        </w:tabs>
        <w:rPr>
          <w:rFonts w:hAnsi="宋体"/>
        </w:rPr>
      </w:pPr>
      <m:oMath>
        <m:r>
          <m:rPr/>
          <w:rPr>
            <w:rFonts w:hint="eastAsia" w:ascii="Cambria Math" w:hAnsi="Cambria Math"/>
          </w:rPr>
          <m:t>△</m:t>
        </m:r>
      </m:oMath>
      <w:r>
        <w:rPr>
          <w:rFonts w:hint="eastAsia" w:hAnsi="宋体"/>
        </w:rPr>
        <w:tab/>
      </w:r>
      <w:r>
        <w:rPr>
          <w:rFonts w:hAnsi="宋体"/>
        </w:rPr>
        <w:t>——</w:t>
      </w:r>
      <w:r>
        <w:rPr>
          <w:rFonts w:hint="eastAsia" w:hAnsi="宋体"/>
        </w:rPr>
        <w:t>最大功率初始光致衰减比率；</w:t>
      </w:r>
    </w:p>
    <w:p>
      <w:pPr>
        <w:pStyle w:val="234"/>
        <w:tabs>
          <w:tab w:val="left" w:pos="1470"/>
        </w:tabs>
        <w:rPr>
          <w:rFonts w:hAnsi="宋体"/>
        </w:rPr>
      </w:pPr>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max.before</m:t>
            </m:r>
            <m:ctrlPr>
              <w:rPr>
                <w:rFonts w:ascii="Cambria Math" w:hAnsi="Cambria Math"/>
                <w:i/>
              </w:rPr>
            </m:ctrlPr>
          </m:sub>
        </m:sSub>
      </m:oMath>
      <w:r>
        <w:rPr>
          <w:rFonts w:hint="eastAsia" w:hAnsi="宋体"/>
        </w:rPr>
        <w:tab/>
      </w:r>
      <w:r>
        <w:rPr>
          <w:rFonts w:hAnsi="宋体"/>
        </w:rPr>
        <w:t>——</w:t>
      </w:r>
      <w:r>
        <w:rPr>
          <w:rFonts w:hint="eastAsia" w:hAnsi="宋体"/>
        </w:rPr>
        <w:t>试验</w:t>
      </w:r>
      <w:r>
        <w:rPr>
          <w:rFonts w:hAnsi="宋体"/>
        </w:rPr>
        <w:t>前</w:t>
      </w:r>
      <w:r>
        <w:rPr>
          <w:rFonts w:hint="eastAsia" w:hAnsi="宋体"/>
        </w:rPr>
        <w:t>STC最大输出功率；</w:t>
      </w:r>
    </w:p>
    <w:p>
      <w:pPr>
        <w:pStyle w:val="234"/>
        <w:tabs>
          <w:tab w:val="left" w:pos="1470"/>
        </w:tabs>
      </w:pPr>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max.after</m:t>
            </m:r>
            <m:ctrlPr>
              <w:rPr>
                <w:rFonts w:ascii="Cambria Math" w:hAnsi="Cambria Math"/>
                <w:i/>
              </w:rPr>
            </m:ctrlPr>
          </m:sub>
        </m:sSub>
      </m:oMath>
      <w:r>
        <w:rPr>
          <w:rFonts w:hint="eastAsia" w:hAnsi="宋体"/>
        </w:rPr>
        <w:tab/>
      </w:r>
      <w:r>
        <w:rPr>
          <w:rFonts w:hAnsi="宋体"/>
        </w:rPr>
        <w:t>——</w:t>
      </w:r>
      <w:r>
        <w:rPr>
          <w:rFonts w:hint="eastAsia" w:hAnsi="宋体"/>
        </w:rPr>
        <w:t>试验后STC最大输出功率</w:t>
      </w:r>
      <w:r>
        <w:rPr>
          <w:rFonts w:hint="eastAsia"/>
        </w:rPr>
        <w:t>。</w:t>
      </w:r>
    </w:p>
    <w:p>
      <w:pPr>
        <w:pStyle w:val="69"/>
        <w:spacing w:before="120" w:after="120"/>
        <w:ind w:left="0"/>
      </w:pPr>
      <w:r>
        <w:rPr>
          <w:rFonts w:hint="eastAsia"/>
        </w:rPr>
        <w:t>双面率</w:t>
      </w:r>
    </w:p>
    <w:p>
      <w:pPr>
        <w:pStyle w:val="168"/>
        <w:ind w:left="0"/>
      </w:pPr>
      <w:r>
        <w:rPr>
          <w:rFonts w:hint="eastAsia"/>
        </w:rPr>
        <w:t>电池双面率应≥8</w:t>
      </w:r>
      <w:r>
        <w:t xml:space="preserve">0 </w:t>
      </w:r>
      <w:r>
        <w:rPr>
          <w:rFonts w:hint="eastAsia"/>
        </w:rPr>
        <w:t>%。</w:t>
      </w:r>
    </w:p>
    <w:p>
      <w:pPr>
        <w:pStyle w:val="168"/>
        <w:ind w:left="0"/>
      </w:pPr>
      <w:r>
        <w:rPr>
          <w:rFonts w:hint="eastAsia"/>
        </w:rPr>
        <w:t>电池双面率由5</w:t>
      </w:r>
      <w:r>
        <w:t>.2</w:t>
      </w:r>
      <w:r>
        <w:rPr>
          <w:rFonts w:hint="eastAsia"/>
        </w:rPr>
        <w:t>.</w:t>
      </w:r>
      <w:r>
        <w:t>4</w:t>
      </w:r>
      <w:r>
        <w:rPr>
          <w:rFonts w:hint="eastAsia"/>
        </w:rPr>
        <w:t>规定的试验方法得到，按式（</w:t>
      </w:r>
      <w:r>
        <w:t>2</w:t>
      </w:r>
      <w:r>
        <w:rPr>
          <w:rFonts w:hint="eastAsia"/>
        </w:rPr>
        <w:t>）进行计算：</w:t>
      </w:r>
    </w:p>
    <w:p>
      <w:pPr>
        <w:pStyle w:val="168"/>
        <w:numPr>
          <w:ilvl w:val="0"/>
          <w:numId w:val="0"/>
        </w:numPr>
        <w:ind w:left="840" w:firstLine="420"/>
        <w:jc w:val="right"/>
      </w:pPr>
      <w:r>
        <w:rPr>
          <w:rFonts w:hint="eastAsia"/>
        </w:rPr>
        <w:t xml:space="preserve"> </w:t>
      </w:r>
      <w:r>
        <w:t xml:space="preserve"> </w:t>
      </w:r>
      <m:oMath>
        <m:r>
          <m:rPr/>
          <w:rPr>
            <w:rFonts w:ascii="Cambria Math" w:hAnsi="Cambria Math"/>
          </w:rPr>
          <m:t>ω(%)=</m:t>
        </m:r>
        <m:f>
          <m:fPr>
            <m:ctrlPr>
              <w:rPr>
                <w:rFonts w:ascii="Cambria Math" w:hAnsi="Cambria Math"/>
                <w:i/>
              </w:rPr>
            </m:ctrlPr>
          </m:fPr>
          <m:num>
            <m:sSub>
              <m:sSubPr>
                <m:ctrlPr>
                  <w:rPr>
                    <w:rFonts w:ascii="Cambria Math" w:hAnsi="Cambria Math"/>
                    <w:i/>
                  </w:rPr>
                </m:ctrlPr>
              </m:sSubPr>
              <m:e>
                <m:r>
                  <m:rPr/>
                  <w:rPr>
                    <w:rFonts w:ascii="Cambria Math" w:hAnsi="Cambria Math"/>
                  </w:rPr>
                  <m:t>η</m:t>
                </m:r>
                <m:ctrlPr>
                  <w:rPr>
                    <w:rFonts w:ascii="Cambria Math" w:hAnsi="Cambria Math"/>
                    <w:i/>
                  </w:rPr>
                </m:ctrlPr>
              </m:e>
              <m:sub>
                <m:r>
                  <m:rPr/>
                  <w:rPr>
                    <w:rFonts w:ascii="Cambria Math" w:hAnsi="Cambria Math"/>
                  </w:rPr>
                  <m:t>rear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η</m:t>
                </m:r>
                <m:ctrlPr>
                  <w:rPr>
                    <w:rFonts w:ascii="Cambria Math" w:hAnsi="Cambria Math"/>
                    <w:i/>
                  </w:rPr>
                </m:ctrlPr>
              </m:e>
              <m:sub>
                <m:r>
                  <m:rPr/>
                  <w:rPr>
                    <w:rFonts w:ascii="Cambria Math" w:hAnsi="Cambria Math"/>
                  </w:rPr>
                  <m:t>front</m:t>
                </m:r>
                <m:ctrlPr>
                  <w:rPr>
                    <w:rFonts w:ascii="Cambria Math" w:hAnsi="Cambria Math"/>
                    <w:i/>
                  </w:rPr>
                </m:ctrlPr>
              </m:sub>
            </m:sSub>
            <m:ctrlPr>
              <w:rPr>
                <w:rFonts w:ascii="Cambria Math" w:hAnsi="Cambria Math"/>
                <w:i/>
              </w:rPr>
            </m:ctrlPr>
          </m:den>
        </m:f>
        <m:r>
          <m:rPr/>
          <w:rPr>
            <w:rFonts w:ascii="Cambria Math" w:hAnsi="Cambria Math"/>
          </w:rPr>
          <m:t>×100%</m:t>
        </m:r>
      </m:oMath>
      <w:r>
        <w:rPr>
          <w:rFonts w:hint="eastAsia"/>
        </w:rPr>
        <w:tab/>
      </w:r>
      <w:r>
        <w:rPr>
          <w:rFonts w:hint="eastAsia"/>
        </w:rPr>
        <w:t>··············（</w:t>
      </w:r>
      <w:r>
        <w:t>2</w:t>
      </w:r>
      <w:r>
        <w:rPr>
          <w:rFonts w:hint="eastAsia"/>
        </w:rPr>
        <w:t>）</w:t>
      </w:r>
    </w:p>
    <w:p>
      <w:pPr>
        <w:pStyle w:val="234"/>
        <w:rPr>
          <w:rFonts w:hAnsi="宋体"/>
        </w:rPr>
      </w:pPr>
      <w:r>
        <w:rPr>
          <w:rFonts w:hint="eastAsia" w:hAnsi="宋体"/>
        </w:rPr>
        <w:t>式中：</w:t>
      </w:r>
    </w:p>
    <w:p>
      <w:pPr>
        <w:pStyle w:val="234"/>
        <w:tabs>
          <w:tab w:val="left" w:pos="1050"/>
        </w:tabs>
        <w:rPr>
          <w:rFonts w:hAnsi="宋体"/>
        </w:rPr>
      </w:pPr>
      <m:oMath>
        <m:r>
          <m:rPr>
            <m:sty m:val="p"/>
          </m:rPr>
          <w:rPr>
            <w:rFonts w:ascii="Cambria Math" w:hAnsi="Cambria Math"/>
          </w:rPr>
          <m:t>ω</m:t>
        </m:r>
      </m:oMath>
      <w:r>
        <w:rPr>
          <w:rFonts w:hint="eastAsia" w:hAnsi="宋体"/>
        </w:rPr>
        <w:tab/>
      </w:r>
      <w:r>
        <w:rPr>
          <w:rFonts w:hAnsi="宋体"/>
        </w:rPr>
        <w:t>——</w:t>
      </w:r>
      <w:r>
        <w:rPr>
          <w:rFonts w:hint="eastAsia" w:hAnsi="宋体"/>
        </w:rPr>
        <w:t>电池双面率；</w:t>
      </w:r>
    </w:p>
    <w:p>
      <w:pPr>
        <w:pStyle w:val="234"/>
        <w:tabs>
          <w:tab w:val="left" w:pos="1050"/>
        </w:tabs>
        <w:rPr>
          <w:rFonts w:hAnsi="宋体"/>
        </w:rPr>
      </w:pPr>
      <m:oMath>
        <m:sSub>
          <m:sSubPr>
            <m:ctrlPr>
              <w:rPr>
                <w:rFonts w:ascii="Cambria Math" w:hAnsi="Cambria Math"/>
                <w:i/>
              </w:rPr>
            </m:ctrlPr>
          </m:sSubPr>
          <m:e>
            <m:r>
              <m:rPr/>
              <w:rPr>
                <w:rFonts w:hint="eastAsia" w:ascii="Cambria Math" w:hAnsi="Cambria Math"/>
              </w:rPr>
              <m:t>η</m:t>
            </m:r>
            <m:ctrlPr>
              <w:rPr>
                <w:rFonts w:ascii="Cambria Math" w:hAnsi="Cambria Math"/>
                <w:i/>
              </w:rPr>
            </m:ctrlPr>
          </m:e>
          <m:sub>
            <m:r>
              <m:rPr/>
              <w:rPr>
                <w:rFonts w:hint="eastAsia" w:ascii="Cambria Math" w:hAnsi="Cambria Math"/>
              </w:rPr>
              <m:t>rear</m:t>
            </m:r>
            <m:ctrlPr>
              <w:rPr>
                <w:rFonts w:ascii="Cambria Math" w:hAnsi="Cambria Math"/>
                <w:i/>
              </w:rPr>
            </m:ctrlPr>
          </m:sub>
        </m:sSub>
      </m:oMath>
      <w:r>
        <w:rPr>
          <w:rFonts w:hint="eastAsia" w:hAnsi="宋体"/>
        </w:rPr>
        <w:tab/>
      </w:r>
      <w:r>
        <w:rPr>
          <w:rFonts w:hAnsi="宋体"/>
        </w:rPr>
        <w:t>——</w:t>
      </w:r>
      <w:r>
        <w:rPr>
          <w:rFonts w:hint="eastAsia" w:hAnsi="宋体"/>
        </w:rPr>
        <w:t>电池背面转换效率；</w:t>
      </w:r>
    </w:p>
    <w:p>
      <w:pPr>
        <w:pStyle w:val="234"/>
        <w:tabs>
          <w:tab w:val="left" w:pos="1050"/>
        </w:tabs>
      </w:pPr>
      <m:oMath>
        <m:sSub>
          <m:sSubPr>
            <m:ctrlPr>
              <w:rPr>
                <w:rFonts w:ascii="Cambria Math" w:hAnsi="Cambria Math"/>
                <w:i/>
              </w:rPr>
            </m:ctrlPr>
          </m:sSubPr>
          <m:e>
            <m:r>
              <m:rPr/>
              <w:rPr>
                <w:rFonts w:hint="eastAsia" w:ascii="Cambria Math" w:hAnsi="Cambria Math"/>
              </w:rPr>
              <m:t>η</m:t>
            </m:r>
            <m:ctrlPr>
              <w:rPr>
                <w:rFonts w:ascii="Cambria Math" w:hAnsi="Cambria Math"/>
                <w:i/>
              </w:rPr>
            </m:ctrlPr>
          </m:e>
          <m:sub>
            <m:r>
              <m:rPr/>
              <w:rPr>
                <w:rFonts w:hint="eastAsia" w:ascii="Cambria Math" w:hAnsi="Cambria Math"/>
              </w:rPr>
              <m:t>front</m:t>
            </m:r>
            <m:ctrlPr>
              <w:rPr>
                <w:rFonts w:ascii="Cambria Math" w:hAnsi="Cambria Math"/>
                <w:i/>
              </w:rPr>
            </m:ctrlPr>
          </m:sub>
        </m:sSub>
      </m:oMath>
      <w:r>
        <w:rPr>
          <w:rFonts w:hint="eastAsia" w:hAnsi="宋体"/>
        </w:rPr>
        <w:tab/>
      </w:r>
      <w:r>
        <w:rPr>
          <w:rFonts w:hAnsi="宋体"/>
        </w:rPr>
        <w:t>——</w:t>
      </w:r>
      <w:r>
        <w:rPr>
          <w:rFonts w:hint="eastAsia" w:hAnsi="宋体"/>
        </w:rPr>
        <w:t>电池正面转换效率</w:t>
      </w:r>
      <w:r>
        <w:rPr>
          <w:rFonts w:hint="eastAsia"/>
        </w:rPr>
        <w:t>。</w:t>
      </w:r>
    </w:p>
    <w:p>
      <w:pPr>
        <w:pStyle w:val="168"/>
        <w:numPr>
          <w:ilvl w:val="0"/>
          <w:numId w:val="0"/>
        </w:numPr>
        <w:rPr>
          <w:sz w:val="18"/>
          <w:szCs w:val="18"/>
        </w:rPr>
      </w:pPr>
      <w:r>
        <w:rPr>
          <w:rFonts w:hint="eastAsia" w:ascii="黑体" w:hAnsi="黑体" w:eastAsia="黑体"/>
          <w:sz w:val="18"/>
          <w:szCs w:val="18"/>
        </w:rPr>
        <w:t>注：</w:t>
      </w:r>
      <w:r>
        <w:rPr>
          <w:rFonts w:hint="eastAsia"/>
          <w:sz w:val="18"/>
          <w:szCs w:val="18"/>
        </w:rPr>
        <w:t>具体数值范围可由供需双方约定。</w:t>
      </w:r>
    </w:p>
    <w:p>
      <w:pPr>
        <w:pStyle w:val="109"/>
        <w:spacing w:before="120" w:after="120"/>
      </w:pPr>
      <w:bookmarkStart w:id="70" w:name="_Toc147679099"/>
      <w:bookmarkStart w:id="71" w:name="_Toc137224787"/>
      <w:r>
        <w:rPr>
          <w:rFonts w:hint="eastAsia"/>
        </w:rPr>
        <w:t>力学性能</w:t>
      </w:r>
      <w:bookmarkEnd w:id="70"/>
      <w:bookmarkEnd w:id="71"/>
    </w:p>
    <w:p>
      <w:pPr>
        <w:pStyle w:val="69"/>
        <w:spacing w:before="120" w:after="120"/>
        <w:ind w:left="0"/>
        <w:rPr>
          <w:rFonts w:hAnsi="黑体" w:cs="黑体"/>
          <w:szCs w:val="22"/>
        </w:rPr>
      </w:pPr>
      <w:r>
        <w:rPr>
          <w:rFonts w:hint="eastAsia"/>
        </w:rPr>
        <w:t>电极</w:t>
      </w:r>
      <w:r>
        <w:rPr>
          <w:rFonts w:hint="eastAsia" w:hAnsi="黑体" w:cs="黑体"/>
          <w:szCs w:val="22"/>
        </w:rPr>
        <w:t>附着强度（电极与焊点抗拉强度）</w:t>
      </w:r>
    </w:p>
    <w:p>
      <w:pPr>
        <w:pStyle w:val="168"/>
        <w:ind w:left="0"/>
      </w:pPr>
      <w:bookmarkStart w:id="72" w:name="OLE_LINK5"/>
      <w:bookmarkStart w:id="73" w:name="OLE_LINK6"/>
      <w:r>
        <w:rPr>
          <w:rFonts w:hint="eastAsia"/>
        </w:rPr>
        <w:t>焊带与电极主栅应结合良好，无虚焊或过焊现象。</w:t>
      </w:r>
    </w:p>
    <w:p>
      <w:pPr>
        <w:pStyle w:val="168"/>
        <w:ind w:left="0"/>
      </w:pPr>
      <w:r>
        <w:rPr>
          <w:rFonts w:hint="eastAsia"/>
        </w:rPr>
        <w:t>电极主栅不应从基体材料上脱落。</w:t>
      </w:r>
    </w:p>
    <w:p>
      <w:pPr>
        <w:pStyle w:val="168"/>
        <w:ind w:left="0"/>
        <w:rPr>
          <w:rFonts w:hAnsi="宋体"/>
        </w:rPr>
      </w:pPr>
      <w:r>
        <w:rPr>
          <w:rFonts w:hint="eastAsia"/>
        </w:rPr>
        <w:t>有主栅电池，正面及背面主栅焊点焊接拉力≥</w:t>
      </w:r>
      <w:r>
        <w:t xml:space="preserve">1 </w:t>
      </w:r>
      <w:r>
        <w:rPr>
          <w:rFonts w:hint="eastAsia"/>
        </w:rPr>
        <w:t>N</w:t>
      </w:r>
      <w:r>
        <w:t>/</w:t>
      </w:r>
      <w:r>
        <w:rPr>
          <w:rFonts w:hint="eastAsia"/>
        </w:rPr>
        <w:t>mm，且75%分段点峰值应大于</w:t>
      </w:r>
      <w:r>
        <w:t xml:space="preserve">1 </w:t>
      </w:r>
      <w:r>
        <w:rPr>
          <w:rFonts w:hint="eastAsia"/>
        </w:rPr>
        <w:t>N</w:t>
      </w:r>
      <w:r>
        <w:t>/</w:t>
      </w:r>
      <w:r>
        <w:rPr>
          <w:rFonts w:hint="eastAsia"/>
        </w:rPr>
        <w:t>mm</w:t>
      </w:r>
      <w:r>
        <w:rPr>
          <w:rFonts w:hint="eastAsia" w:hAnsi="宋体"/>
        </w:rPr>
        <w:t>。</w:t>
      </w:r>
      <w:bookmarkEnd w:id="72"/>
      <w:bookmarkEnd w:id="73"/>
    </w:p>
    <w:p>
      <w:pPr>
        <w:pStyle w:val="109"/>
        <w:spacing w:before="120" w:after="120"/>
      </w:pPr>
      <w:bookmarkStart w:id="74" w:name="_Toc147679100"/>
      <w:bookmarkStart w:id="75" w:name="_Toc131168578"/>
      <w:bookmarkStart w:id="76" w:name="_Toc137224788"/>
      <w:r>
        <w:rPr>
          <w:rFonts w:hint="eastAsia"/>
        </w:rPr>
        <w:t>电致发光（EL）要求</w:t>
      </w:r>
      <w:bookmarkEnd w:id="74"/>
      <w:bookmarkEnd w:id="75"/>
      <w:bookmarkEnd w:id="76"/>
    </w:p>
    <w:p>
      <w:pPr>
        <w:pStyle w:val="60"/>
        <w:ind w:firstLine="420"/>
      </w:pPr>
      <w:r>
        <w:rPr>
          <w:rFonts w:hint="eastAsia"/>
        </w:rPr>
        <w:t>电池电致发光图像应符合附录B的规定。</w:t>
      </w:r>
    </w:p>
    <w:p>
      <w:pPr>
        <w:pStyle w:val="109"/>
        <w:spacing w:before="120" w:after="120"/>
        <w:rPr>
          <w:szCs w:val="21"/>
        </w:rPr>
      </w:pPr>
      <w:bookmarkStart w:id="77" w:name="_Toc147679101"/>
      <w:bookmarkStart w:id="78" w:name="_Toc131168579"/>
      <w:bookmarkStart w:id="79" w:name="_Toc137224789"/>
      <w:r>
        <w:rPr>
          <w:rFonts w:hint="eastAsia"/>
        </w:rPr>
        <w:t>可靠性要求</w:t>
      </w:r>
      <w:bookmarkEnd w:id="77"/>
      <w:bookmarkEnd w:id="78"/>
      <w:bookmarkEnd w:id="79"/>
    </w:p>
    <w:p>
      <w:pPr>
        <w:pStyle w:val="69"/>
        <w:spacing w:before="120" w:after="120"/>
        <w:ind w:left="0"/>
      </w:pPr>
      <w:r>
        <w:rPr>
          <w:rFonts w:hint="eastAsia"/>
        </w:rPr>
        <w:t>湿热试验</w:t>
      </w:r>
    </w:p>
    <w:p>
      <w:pPr>
        <w:pStyle w:val="234"/>
        <w:rPr>
          <w:szCs w:val="22"/>
        </w:rPr>
      </w:pPr>
      <w:r>
        <w:rPr>
          <w:rFonts w:hint="eastAsia"/>
          <w:szCs w:val="22"/>
        </w:rPr>
        <w:t>按</w:t>
      </w:r>
      <w:r>
        <w:rPr>
          <w:rFonts w:hint="eastAsia"/>
        </w:rPr>
        <w:t>照</w:t>
      </w:r>
      <w:r>
        <w:rPr>
          <w:rFonts w:hint="eastAsia"/>
          <w:szCs w:val="22"/>
        </w:rPr>
        <w:t>5.</w:t>
      </w:r>
      <w:r>
        <w:rPr>
          <w:szCs w:val="22"/>
        </w:rPr>
        <w:t>5</w:t>
      </w:r>
      <w:r>
        <w:rPr>
          <w:rFonts w:hint="eastAsia"/>
          <w:szCs w:val="22"/>
        </w:rPr>
        <w:t>.</w:t>
      </w:r>
      <w:r>
        <w:rPr>
          <w:szCs w:val="22"/>
        </w:rPr>
        <w:t>1</w:t>
      </w:r>
      <w:r>
        <w:rPr>
          <w:rFonts w:hint="eastAsia"/>
          <w:szCs w:val="22"/>
        </w:rPr>
        <w:t>规定的试验方法进行试验，小组件转换效率衰减≤</w:t>
      </w:r>
      <w:r>
        <w:rPr>
          <w:szCs w:val="22"/>
        </w:rPr>
        <w:t>3 %</w:t>
      </w:r>
      <w:r>
        <w:rPr>
          <w:rFonts w:hint="eastAsia"/>
          <w:szCs w:val="22"/>
        </w:rPr>
        <w:t>。</w:t>
      </w:r>
    </w:p>
    <w:p>
      <w:pPr>
        <w:pStyle w:val="69"/>
        <w:spacing w:before="120" w:after="120"/>
        <w:ind w:left="0"/>
      </w:pPr>
      <w:r>
        <w:rPr>
          <w:rFonts w:hint="eastAsia"/>
        </w:rPr>
        <w:t>UV辐照试验</w:t>
      </w:r>
    </w:p>
    <w:p>
      <w:pPr>
        <w:pStyle w:val="60"/>
        <w:ind w:firstLine="420"/>
      </w:pPr>
      <w:r>
        <w:rPr>
          <w:rFonts w:hint="eastAsia"/>
        </w:rPr>
        <w:t>按照5.</w:t>
      </w:r>
      <w:r>
        <w:t>5</w:t>
      </w:r>
      <w:r>
        <w:rPr>
          <w:rFonts w:hint="eastAsia"/>
        </w:rPr>
        <w:t>.</w:t>
      </w:r>
      <w:r>
        <w:t>2</w:t>
      </w:r>
      <w:r>
        <w:rPr>
          <w:rFonts w:hint="eastAsia"/>
        </w:rPr>
        <w:t>规定的方法进行试验，小组件最大功率（P</w:t>
      </w:r>
      <w:r>
        <w:rPr>
          <w:vertAlign w:val="subscript"/>
        </w:rPr>
        <w:t>max</w:t>
      </w:r>
      <w:r>
        <w:rPr>
          <w:rFonts w:hint="eastAsia"/>
        </w:rPr>
        <w:t>）衰减≤</w:t>
      </w:r>
      <w:r>
        <w:t xml:space="preserve">2 </w:t>
      </w:r>
      <w:r>
        <w:rPr>
          <w:rFonts w:hint="eastAsia"/>
        </w:rPr>
        <w:t>%。</w:t>
      </w:r>
    </w:p>
    <w:p>
      <w:pPr>
        <w:pStyle w:val="69"/>
        <w:spacing w:before="120" w:after="120"/>
        <w:ind w:left="0"/>
      </w:pPr>
      <w:r>
        <w:rPr>
          <w:rFonts w:hint="eastAsia"/>
        </w:rPr>
        <w:t>电池暗衰</w:t>
      </w:r>
    </w:p>
    <w:p>
      <w:pPr>
        <w:pStyle w:val="60"/>
        <w:ind w:firstLine="420"/>
      </w:pPr>
      <w:r>
        <w:rPr>
          <w:rFonts w:hint="eastAsia"/>
        </w:rPr>
        <w:t>电池在暗态条件（干燥环境，相对湿度＜60%RH）下储存放置1个月，电池效率衰减≤</w:t>
      </w:r>
      <w:r>
        <w:t>3 %</w:t>
      </w:r>
      <w:r>
        <w:rPr>
          <w:rFonts w:hint="eastAsia"/>
        </w:rPr>
        <w:t>。</w:t>
      </w:r>
    </w:p>
    <w:p>
      <w:pPr>
        <w:pStyle w:val="108"/>
        <w:spacing w:before="240" w:after="240"/>
      </w:pPr>
      <w:bookmarkStart w:id="80" w:name="_Toc131168580"/>
      <w:bookmarkStart w:id="81" w:name="_Toc147679102"/>
      <w:bookmarkStart w:id="82" w:name="_Toc137224790"/>
      <w:bookmarkStart w:id="83" w:name="_Toc131168487"/>
      <w:r>
        <w:rPr>
          <w:rFonts w:hint="eastAsia"/>
        </w:rPr>
        <w:t>试验方法</w:t>
      </w:r>
      <w:bookmarkEnd w:id="80"/>
      <w:bookmarkEnd w:id="81"/>
      <w:bookmarkEnd w:id="82"/>
      <w:bookmarkEnd w:id="83"/>
    </w:p>
    <w:p>
      <w:pPr>
        <w:pStyle w:val="109"/>
        <w:spacing w:before="120" w:after="120"/>
      </w:pPr>
      <w:bookmarkStart w:id="84" w:name="_Toc131168581"/>
      <w:bookmarkStart w:id="85" w:name="_Toc147679103"/>
      <w:bookmarkStart w:id="86" w:name="_Toc137224791"/>
      <w:r>
        <w:rPr>
          <w:rFonts w:hint="eastAsia"/>
        </w:rPr>
        <w:t>外观</w:t>
      </w:r>
      <w:bookmarkEnd w:id="84"/>
      <w:bookmarkEnd w:id="85"/>
      <w:bookmarkEnd w:id="86"/>
    </w:p>
    <w:p>
      <w:pPr>
        <w:pStyle w:val="234"/>
        <w:ind w:firstLineChars="0"/>
        <w:rPr>
          <w:rFonts w:hAnsi="宋体"/>
        </w:rPr>
      </w:pPr>
      <w:r>
        <w:rPr>
          <w:rFonts w:hint="eastAsia" w:hAnsi="宋体"/>
        </w:rPr>
        <w:t>在照度不小于</w:t>
      </w:r>
      <w:r>
        <w:rPr>
          <w:rFonts w:hAnsi="宋体"/>
        </w:rPr>
        <w:t>10</w:t>
      </w:r>
      <w:r>
        <w:rPr>
          <w:rFonts w:hint="eastAsia"/>
        </w:rPr>
        <w:t xml:space="preserve">00 </w:t>
      </w:r>
      <w:r>
        <w:rPr>
          <w:rFonts w:hint="eastAsia" w:hAnsi="宋体"/>
        </w:rPr>
        <w:t>lx的白色光源下，电池外观检测方法见表</w:t>
      </w:r>
      <w:r>
        <w:t>1</w:t>
      </w:r>
      <w:r>
        <w:rPr>
          <w:rFonts w:hint="eastAsia" w:hAnsi="宋体"/>
        </w:rPr>
        <w:t>。</w:t>
      </w:r>
    </w:p>
    <w:p>
      <w:pPr>
        <w:pStyle w:val="116"/>
        <w:spacing w:before="120" w:after="120"/>
      </w:pPr>
      <w:r>
        <w:rPr>
          <w:rFonts w:hint="eastAsia"/>
        </w:rPr>
        <w:t>电池外观检测方法</w:t>
      </w:r>
    </w:p>
    <w:tbl>
      <w:tblPr>
        <w:tblStyle w:val="2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825"/>
        <w:gridCol w:w="3119"/>
        <w:gridCol w:w="33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5944" w:type="dxa"/>
            <w:gridSpan w:val="2"/>
            <w:shd w:val="clear" w:color="auto" w:fill="auto"/>
            <w:vAlign w:val="center"/>
          </w:tcPr>
          <w:p>
            <w:pPr>
              <w:pStyle w:val="182"/>
            </w:pPr>
            <w:r>
              <w:rPr>
                <w:rFonts w:hint="eastAsia"/>
              </w:rPr>
              <w:t>项目</w:t>
            </w:r>
          </w:p>
        </w:tc>
        <w:tc>
          <w:tcPr>
            <w:tcW w:w="3390" w:type="dxa"/>
            <w:shd w:val="clear" w:color="auto" w:fill="auto"/>
            <w:vAlign w:val="center"/>
          </w:tcPr>
          <w:p>
            <w:pPr>
              <w:pStyle w:val="182"/>
            </w:pPr>
            <w:r>
              <w:rPr>
                <w:rFonts w:hint="eastAsia"/>
              </w:rPr>
              <w:t>检验方法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restart"/>
            <w:shd w:val="clear" w:color="auto" w:fill="FFFFFF" w:themeFill="background1"/>
            <w:vAlign w:val="center"/>
          </w:tcPr>
          <w:p>
            <w:pPr>
              <w:pStyle w:val="182"/>
            </w:pPr>
            <w:r>
              <w:rPr>
                <w:rFonts w:hint="eastAsia" w:hAnsi="宋体"/>
                <w:szCs w:val="18"/>
              </w:rPr>
              <w:t>电池总体</w:t>
            </w:r>
          </w:p>
        </w:tc>
        <w:tc>
          <w:tcPr>
            <w:tcW w:w="3119" w:type="dxa"/>
            <w:shd w:val="clear" w:color="auto" w:fill="FFFFFF" w:themeFill="background1"/>
            <w:vAlign w:val="center"/>
          </w:tcPr>
          <w:p>
            <w:pPr>
              <w:pStyle w:val="182"/>
            </w:pPr>
            <w:r>
              <w:rPr>
                <w:rFonts w:hint="eastAsia" w:hAnsi="宋体"/>
                <w:szCs w:val="18"/>
              </w:rPr>
              <w:t>缺口、缺角、隐裂、孔洞、氧化</w:t>
            </w:r>
          </w:p>
        </w:tc>
        <w:tc>
          <w:tcPr>
            <w:tcW w:w="3390" w:type="dxa"/>
            <w:shd w:val="clear" w:color="auto" w:fill="FFFFFF" w:themeFill="background1"/>
            <w:vAlign w:val="center"/>
          </w:tcPr>
          <w:p>
            <w:pPr>
              <w:pStyle w:val="182"/>
            </w:pPr>
            <w:r>
              <w:rPr>
                <w:rFonts w:hint="eastAsia" w:hAnsi="宋体"/>
                <w:szCs w:val="18"/>
              </w:rPr>
              <w:t>目测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continue"/>
            <w:shd w:val="clear" w:color="auto" w:fill="FFFFFF" w:themeFill="background1"/>
            <w:vAlign w:val="center"/>
          </w:tcPr>
          <w:p>
            <w:pPr>
              <w:pStyle w:val="182"/>
            </w:pPr>
          </w:p>
        </w:tc>
        <w:tc>
          <w:tcPr>
            <w:tcW w:w="3119" w:type="dxa"/>
            <w:shd w:val="clear" w:color="auto" w:fill="FFFFFF" w:themeFill="background1"/>
            <w:vAlign w:val="center"/>
          </w:tcPr>
          <w:p>
            <w:pPr>
              <w:pStyle w:val="182"/>
            </w:pPr>
            <w:r>
              <w:rPr>
                <w:rFonts w:hint="eastAsia" w:hAnsi="宋体"/>
                <w:szCs w:val="18"/>
              </w:rPr>
              <w:t>崩面、崩点、崩边</w:t>
            </w:r>
          </w:p>
        </w:tc>
        <w:tc>
          <w:tcPr>
            <w:tcW w:w="3390" w:type="dxa"/>
            <w:shd w:val="clear" w:color="auto" w:fill="FFFFFF" w:themeFill="background1"/>
            <w:vAlign w:val="center"/>
          </w:tcPr>
          <w:p>
            <w:pPr>
              <w:pStyle w:val="182"/>
            </w:pPr>
            <w:r>
              <w:rPr>
                <w:rFonts w:hint="eastAsia" w:hAnsi="宋体"/>
                <w:szCs w:val="18"/>
              </w:rPr>
              <w:t>精度优于0.02</w:t>
            </w:r>
            <w:r>
              <w:rPr>
                <w:rFonts w:hAnsi="宋体"/>
                <w:szCs w:val="18"/>
              </w:rPr>
              <w:t xml:space="preserve"> </w:t>
            </w:r>
            <w:r>
              <w:rPr>
                <w:rFonts w:hint="eastAsia" w:hAnsi="宋体"/>
                <w:szCs w:val="18"/>
              </w:rPr>
              <w:t>mm的游标卡尺或菲林尺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continue"/>
            <w:shd w:val="clear" w:color="auto" w:fill="FFFFFF" w:themeFill="background1"/>
            <w:vAlign w:val="center"/>
          </w:tcPr>
          <w:p>
            <w:pPr>
              <w:pStyle w:val="182"/>
            </w:pPr>
          </w:p>
        </w:tc>
        <w:tc>
          <w:tcPr>
            <w:tcW w:w="3119" w:type="dxa"/>
            <w:shd w:val="clear" w:color="auto" w:fill="FFFFFF" w:themeFill="background1"/>
            <w:vAlign w:val="center"/>
          </w:tcPr>
          <w:p>
            <w:pPr>
              <w:pStyle w:val="182"/>
            </w:pPr>
            <w:r>
              <w:rPr>
                <w:rFonts w:hint="eastAsia" w:hAnsi="宋体"/>
                <w:szCs w:val="18"/>
              </w:rPr>
              <w:t>尺寸精度</w:t>
            </w:r>
          </w:p>
        </w:tc>
        <w:tc>
          <w:tcPr>
            <w:tcW w:w="3390" w:type="dxa"/>
            <w:shd w:val="clear" w:color="auto" w:fill="FFFFFF" w:themeFill="background1"/>
            <w:vAlign w:val="center"/>
          </w:tcPr>
          <w:p>
            <w:pPr>
              <w:pStyle w:val="182"/>
            </w:pPr>
            <w:r>
              <w:rPr>
                <w:rFonts w:hint="eastAsia" w:hAnsi="宋体"/>
                <w:szCs w:val="18"/>
              </w:rPr>
              <w:t>精度优于0.02</w:t>
            </w:r>
            <w:r>
              <w:rPr>
                <w:rFonts w:hAnsi="宋体"/>
                <w:szCs w:val="18"/>
              </w:rPr>
              <w:t xml:space="preserve"> </w:t>
            </w:r>
            <w:r>
              <w:rPr>
                <w:rFonts w:hint="eastAsia" w:hAnsi="宋体"/>
                <w:szCs w:val="18"/>
              </w:rPr>
              <w:t>mm的游标卡尺或菲林尺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continue"/>
            <w:shd w:val="clear" w:color="auto" w:fill="FFFFFF" w:themeFill="background1"/>
            <w:vAlign w:val="center"/>
          </w:tcPr>
          <w:p>
            <w:pPr>
              <w:pStyle w:val="182"/>
            </w:pPr>
          </w:p>
        </w:tc>
        <w:tc>
          <w:tcPr>
            <w:tcW w:w="3119" w:type="dxa"/>
            <w:shd w:val="clear" w:color="auto" w:fill="FFFFFF" w:themeFill="background1"/>
            <w:vAlign w:val="center"/>
          </w:tcPr>
          <w:p>
            <w:pPr>
              <w:pStyle w:val="182"/>
            </w:pPr>
            <w:r>
              <w:rPr>
                <w:rFonts w:hint="eastAsia" w:hAnsi="宋体"/>
                <w:szCs w:val="18"/>
              </w:rPr>
              <w:t>划伤、擦伤</w:t>
            </w:r>
          </w:p>
        </w:tc>
        <w:tc>
          <w:tcPr>
            <w:tcW w:w="3390" w:type="dxa"/>
            <w:shd w:val="clear" w:color="auto" w:fill="FFFFFF" w:themeFill="background1"/>
            <w:vAlign w:val="center"/>
          </w:tcPr>
          <w:p>
            <w:pPr>
              <w:pStyle w:val="182"/>
            </w:pPr>
            <w:r>
              <w:rPr>
                <w:rFonts w:hint="eastAsia" w:hAnsi="宋体"/>
                <w:szCs w:val="18"/>
              </w:rPr>
              <w:t>精度优于0.02</w:t>
            </w:r>
            <w:r>
              <w:rPr>
                <w:rFonts w:hAnsi="宋体"/>
                <w:szCs w:val="18"/>
              </w:rPr>
              <w:t xml:space="preserve"> </w:t>
            </w:r>
            <w:r>
              <w:rPr>
                <w:rFonts w:hint="eastAsia" w:hAnsi="宋体"/>
                <w:szCs w:val="18"/>
              </w:rPr>
              <w:t>mm的游标卡尺或菲林尺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continue"/>
            <w:shd w:val="clear" w:color="auto" w:fill="FFFFFF" w:themeFill="background1"/>
            <w:vAlign w:val="center"/>
          </w:tcPr>
          <w:p>
            <w:pPr>
              <w:pStyle w:val="182"/>
            </w:pPr>
          </w:p>
        </w:tc>
        <w:tc>
          <w:tcPr>
            <w:tcW w:w="3119" w:type="dxa"/>
            <w:shd w:val="clear" w:color="auto" w:fill="FFFFFF" w:themeFill="background1"/>
            <w:vAlign w:val="center"/>
          </w:tcPr>
          <w:p>
            <w:pPr>
              <w:pStyle w:val="182"/>
            </w:pPr>
            <w:r>
              <w:rPr>
                <w:rFonts w:hint="eastAsia" w:hAnsi="宋体"/>
                <w:szCs w:val="18"/>
              </w:rPr>
              <w:t>色差</w:t>
            </w:r>
          </w:p>
        </w:tc>
        <w:tc>
          <w:tcPr>
            <w:tcW w:w="3390" w:type="dxa"/>
            <w:shd w:val="clear" w:color="auto" w:fill="FFFFFF" w:themeFill="background1"/>
            <w:vAlign w:val="center"/>
          </w:tcPr>
          <w:p>
            <w:pPr>
              <w:pStyle w:val="182"/>
            </w:pPr>
            <w:r>
              <w:rPr>
                <w:rFonts w:hint="eastAsia" w:hAnsi="宋体"/>
                <w:szCs w:val="18"/>
              </w:rPr>
              <w:t>目测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continue"/>
            <w:shd w:val="clear" w:color="auto" w:fill="FFFFFF" w:themeFill="background1"/>
            <w:vAlign w:val="center"/>
          </w:tcPr>
          <w:p>
            <w:pPr>
              <w:pStyle w:val="182"/>
            </w:pPr>
          </w:p>
        </w:tc>
        <w:tc>
          <w:tcPr>
            <w:tcW w:w="3119" w:type="dxa"/>
            <w:shd w:val="clear" w:color="auto" w:fill="FFFFFF" w:themeFill="background1"/>
            <w:vAlign w:val="center"/>
          </w:tcPr>
          <w:p>
            <w:pPr>
              <w:pStyle w:val="182"/>
            </w:pPr>
            <w:r>
              <w:rPr>
                <w:rFonts w:hint="eastAsia" w:hAnsi="宋体"/>
                <w:szCs w:val="18"/>
              </w:rPr>
              <w:t>斑点</w:t>
            </w:r>
          </w:p>
        </w:tc>
        <w:tc>
          <w:tcPr>
            <w:tcW w:w="3390" w:type="dxa"/>
            <w:shd w:val="clear" w:color="auto" w:fill="FFFFFF" w:themeFill="background1"/>
            <w:vAlign w:val="center"/>
          </w:tcPr>
          <w:p>
            <w:pPr>
              <w:pStyle w:val="182"/>
            </w:pPr>
            <w:r>
              <w:rPr>
                <w:rFonts w:hint="eastAsia" w:hAnsi="宋体"/>
                <w:szCs w:val="18"/>
              </w:rPr>
              <w:t>精度优于0.02</w:t>
            </w:r>
            <w:r>
              <w:rPr>
                <w:rFonts w:hAnsi="宋体"/>
                <w:szCs w:val="18"/>
              </w:rPr>
              <w:t xml:space="preserve"> </w:t>
            </w:r>
            <w:r>
              <w:rPr>
                <w:rFonts w:hint="eastAsia" w:hAnsi="宋体"/>
                <w:szCs w:val="18"/>
              </w:rPr>
              <w:t>mm的游标卡尺或菲林尺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continue"/>
            <w:shd w:val="clear" w:color="auto" w:fill="FFFFFF" w:themeFill="background1"/>
            <w:vAlign w:val="center"/>
          </w:tcPr>
          <w:p>
            <w:pPr>
              <w:pStyle w:val="182"/>
            </w:pPr>
          </w:p>
        </w:tc>
        <w:tc>
          <w:tcPr>
            <w:tcW w:w="3119" w:type="dxa"/>
            <w:shd w:val="clear" w:color="auto" w:fill="FFFFFF" w:themeFill="background1"/>
            <w:vAlign w:val="center"/>
          </w:tcPr>
          <w:p>
            <w:pPr>
              <w:pStyle w:val="182"/>
              <w:rPr>
                <w:rFonts w:hAnsi="宋体"/>
                <w:szCs w:val="18"/>
              </w:rPr>
            </w:pPr>
            <w:r>
              <w:rPr>
                <w:rFonts w:hint="eastAsia" w:hAnsi="宋体"/>
                <w:szCs w:val="18"/>
              </w:rPr>
              <w:t>印刷偏移</w:t>
            </w:r>
          </w:p>
        </w:tc>
        <w:tc>
          <w:tcPr>
            <w:tcW w:w="3390" w:type="dxa"/>
            <w:shd w:val="clear" w:color="auto" w:fill="FFFFFF" w:themeFill="background1"/>
            <w:vAlign w:val="center"/>
          </w:tcPr>
          <w:p>
            <w:pPr>
              <w:pStyle w:val="182"/>
              <w:rPr>
                <w:rFonts w:hAnsi="宋体"/>
                <w:szCs w:val="18"/>
              </w:rPr>
            </w:pPr>
            <w:r>
              <w:rPr>
                <w:rFonts w:hint="eastAsia" w:hAnsi="宋体"/>
                <w:szCs w:val="18"/>
              </w:rPr>
              <w:t>精度优于0.02</w:t>
            </w:r>
            <w:r>
              <w:rPr>
                <w:rFonts w:hAnsi="宋体"/>
                <w:szCs w:val="18"/>
              </w:rPr>
              <w:t xml:space="preserve"> </w:t>
            </w:r>
            <w:r>
              <w:rPr>
                <w:rFonts w:hint="eastAsia" w:hAnsi="宋体"/>
                <w:szCs w:val="18"/>
              </w:rPr>
              <w:t>mm的游标卡尺或菲林尺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restart"/>
            <w:shd w:val="clear" w:color="auto" w:fill="FFFFFF" w:themeFill="background1"/>
            <w:vAlign w:val="center"/>
          </w:tcPr>
          <w:p>
            <w:pPr>
              <w:pStyle w:val="182"/>
            </w:pPr>
            <w:r>
              <w:rPr>
                <w:rFonts w:hint="eastAsia" w:hAnsi="宋体"/>
                <w:szCs w:val="18"/>
              </w:rPr>
              <w:t>正面外观</w:t>
            </w:r>
          </w:p>
        </w:tc>
        <w:tc>
          <w:tcPr>
            <w:tcW w:w="3119" w:type="dxa"/>
            <w:shd w:val="clear" w:color="auto" w:fill="FFFFFF" w:themeFill="background1"/>
            <w:vAlign w:val="center"/>
          </w:tcPr>
          <w:p>
            <w:pPr>
              <w:pStyle w:val="182"/>
              <w:rPr>
                <w:rFonts w:hAnsi="宋体"/>
                <w:szCs w:val="18"/>
              </w:rPr>
            </w:pPr>
            <w:r>
              <w:rPr>
                <w:rFonts w:hint="eastAsia" w:hAnsi="宋体"/>
                <w:szCs w:val="18"/>
              </w:rPr>
              <w:t>银浆斑（正面漏浆）、栅线结点</w:t>
            </w:r>
          </w:p>
        </w:tc>
        <w:tc>
          <w:tcPr>
            <w:tcW w:w="3390" w:type="dxa"/>
            <w:shd w:val="clear" w:color="auto" w:fill="FFFFFF" w:themeFill="background1"/>
          </w:tcPr>
          <w:p>
            <w:pPr>
              <w:pStyle w:val="182"/>
              <w:rPr>
                <w:rFonts w:hAnsi="宋体"/>
                <w:szCs w:val="18"/>
              </w:rPr>
            </w:pPr>
            <w:r>
              <w:rPr>
                <w:rFonts w:hint="eastAsia" w:hAnsi="宋体"/>
                <w:szCs w:val="18"/>
              </w:rPr>
              <w:t>精度优于0.02</w:t>
            </w:r>
            <w:r>
              <w:rPr>
                <w:rFonts w:hAnsi="宋体"/>
                <w:szCs w:val="18"/>
              </w:rPr>
              <w:t xml:space="preserve"> </w:t>
            </w:r>
            <w:r>
              <w:rPr>
                <w:rFonts w:hint="eastAsia" w:hAnsi="宋体"/>
                <w:szCs w:val="18"/>
              </w:rPr>
              <w:t>mm的游标卡尺或菲林尺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continue"/>
            <w:shd w:val="clear" w:color="auto" w:fill="FFFFFF" w:themeFill="background1"/>
            <w:vAlign w:val="center"/>
          </w:tcPr>
          <w:p>
            <w:pPr>
              <w:pStyle w:val="182"/>
            </w:pPr>
          </w:p>
        </w:tc>
        <w:tc>
          <w:tcPr>
            <w:tcW w:w="3119" w:type="dxa"/>
            <w:shd w:val="clear" w:color="auto" w:fill="FFFFFF" w:themeFill="background1"/>
            <w:vAlign w:val="center"/>
          </w:tcPr>
          <w:p>
            <w:pPr>
              <w:pStyle w:val="182"/>
              <w:rPr>
                <w:rFonts w:hAnsi="宋体"/>
                <w:szCs w:val="18"/>
              </w:rPr>
            </w:pPr>
            <w:r>
              <w:rPr>
                <w:rFonts w:hint="eastAsia" w:hAnsi="宋体"/>
                <w:szCs w:val="18"/>
              </w:rPr>
              <w:t>银浆斑（侧面漏浆）</w:t>
            </w:r>
          </w:p>
        </w:tc>
        <w:tc>
          <w:tcPr>
            <w:tcW w:w="3390" w:type="dxa"/>
            <w:shd w:val="clear" w:color="auto" w:fill="FFFFFF" w:themeFill="background1"/>
            <w:vAlign w:val="center"/>
          </w:tcPr>
          <w:p>
            <w:pPr>
              <w:pStyle w:val="182"/>
              <w:rPr>
                <w:rFonts w:hAnsi="宋体"/>
                <w:szCs w:val="18"/>
              </w:rPr>
            </w:pPr>
            <w:r>
              <w:rPr>
                <w:rFonts w:hint="eastAsia" w:hAnsi="宋体"/>
                <w:szCs w:val="18"/>
              </w:rPr>
              <w:t>目测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continue"/>
            <w:shd w:val="clear" w:color="auto" w:fill="FFFFFF" w:themeFill="background1"/>
            <w:vAlign w:val="center"/>
          </w:tcPr>
          <w:p>
            <w:pPr>
              <w:pStyle w:val="182"/>
            </w:pPr>
          </w:p>
        </w:tc>
        <w:tc>
          <w:tcPr>
            <w:tcW w:w="3119" w:type="dxa"/>
            <w:shd w:val="clear" w:color="auto" w:fill="FFFFFF" w:themeFill="background1"/>
            <w:vAlign w:val="center"/>
          </w:tcPr>
          <w:p>
            <w:pPr>
              <w:pStyle w:val="182"/>
              <w:rPr>
                <w:rFonts w:hAnsi="宋体"/>
                <w:szCs w:val="18"/>
              </w:rPr>
            </w:pPr>
            <w:r>
              <w:rPr>
                <w:rFonts w:hint="eastAsia" w:hAnsi="宋体"/>
                <w:szCs w:val="18"/>
              </w:rPr>
              <w:t>正背面脏污</w:t>
            </w:r>
          </w:p>
        </w:tc>
        <w:tc>
          <w:tcPr>
            <w:tcW w:w="3390" w:type="dxa"/>
            <w:shd w:val="clear" w:color="auto" w:fill="FFFFFF" w:themeFill="background1"/>
            <w:vAlign w:val="center"/>
          </w:tcPr>
          <w:p>
            <w:pPr>
              <w:pStyle w:val="182"/>
              <w:rPr>
                <w:rFonts w:hAnsi="宋体"/>
                <w:szCs w:val="18"/>
              </w:rPr>
            </w:pPr>
            <w:r>
              <w:rPr>
                <w:rFonts w:hint="eastAsia" w:hAnsi="宋体"/>
                <w:szCs w:val="18"/>
              </w:rPr>
              <w:t>目测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continue"/>
            <w:shd w:val="clear" w:color="auto" w:fill="FFFFFF" w:themeFill="background1"/>
            <w:vAlign w:val="center"/>
          </w:tcPr>
          <w:p>
            <w:pPr>
              <w:pStyle w:val="182"/>
            </w:pPr>
          </w:p>
        </w:tc>
        <w:tc>
          <w:tcPr>
            <w:tcW w:w="3119" w:type="dxa"/>
            <w:shd w:val="clear" w:color="auto" w:fill="FFFFFF" w:themeFill="background1"/>
            <w:vAlign w:val="center"/>
          </w:tcPr>
          <w:p>
            <w:pPr>
              <w:pStyle w:val="182"/>
              <w:rPr>
                <w:rFonts w:hAnsi="宋体"/>
                <w:szCs w:val="18"/>
              </w:rPr>
            </w:pPr>
            <w:r>
              <w:rPr>
                <w:rFonts w:hint="eastAsia" w:hAnsi="宋体"/>
                <w:szCs w:val="18"/>
              </w:rPr>
              <w:t>主栅线缺失</w:t>
            </w:r>
          </w:p>
        </w:tc>
        <w:tc>
          <w:tcPr>
            <w:tcW w:w="3390" w:type="dxa"/>
            <w:shd w:val="clear" w:color="auto" w:fill="FFFFFF" w:themeFill="background1"/>
            <w:vAlign w:val="center"/>
          </w:tcPr>
          <w:p>
            <w:pPr>
              <w:pStyle w:val="182"/>
              <w:rPr>
                <w:rFonts w:hAnsi="宋体"/>
                <w:szCs w:val="18"/>
              </w:rPr>
            </w:pPr>
            <w:r>
              <w:rPr>
                <w:rFonts w:hint="eastAsia" w:hAnsi="宋体"/>
                <w:szCs w:val="18"/>
              </w:rPr>
              <w:t>目测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continue"/>
            <w:shd w:val="clear" w:color="auto" w:fill="FFFFFF" w:themeFill="background1"/>
            <w:vAlign w:val="center"/>
          </w:tcPr>
          <w:p>
            <w:pPr>
              <w:pStyle w:val="182"/>
            </w:pPr>
          </w:p>
        </w:tc>
        <w:tc>
          <w:tcPr>
            <w:tcW w:w="3119" w:type="dxa"/>
            <w:shd w:val="clear" w:color="auto" w:fill="FFFFFF" w:themeFill="background1"/>
            <w:vAlign w:val="center"/>
          </w:tcPr>
          <w:p>
            <w:pPr>
              <w:pStyle w:val="182"/>
              <w:rPr>
                <w:rFonts w:hAnsi="宋体"/>
                <w:szCs w:val="18"/>
              </w:rPr>
            </w:pPr>
            <w:r>
              <w:rPr>
                <w:rFonts w:hint="eastAsia" w:hAnsi="宋体"/>
                <w:szCs w:val="18"/>
              </w:rPr>
              <w:t>断栅</w:t>
            </w:r>
          </w:p>
        </w:tc>
        <w:tc>
          <w:tcPr>
            <w:tcW w:w="3390" w:type="dxa"/>
            <w:shd w:val="clear" w:color="auto" w:fill="FFFFFF" w:themeFill="background1"/>
          </w:tcPr>
          <w:p>
            <w:pPr>
              <w:pStyle w:val="182"/>
              <w:rPr>
                <w:rFonts w:hAnsi="宋体"/>
                <w:szCs w:val="18"/>
              </w:rPr>
            </w:pPr>
            <w:r>
              <w:rPr>
                <w:rFonts w:hint="eastAsia" w:hAnsi="宋体"/>
                <w:szCs w:val="18"/>
              </w:rPr>
              <w:t>精度优于0.02</w:t>
            </w:r>
            <w:r>
              <w:rPr>
                <w:rFonts w:hAnsi="宋体"/>
                <w:szCs w:val="18"/>
              </w:rPr>
              <w:t xml:space="preserve"> </w:t>
            </w:r>
            <w:r>
              <w:rPr>
                <w:rFonts w:hint="eastAsia" w:hAnsi="宋体"/>
                <w:szCs w:val="18"/>
              </w:rPr>
              <w:t>mm的游标卡尺或菲林尺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restart"/>
            <w:shd w:val="clear" w:color="auto" w:fill="FFFFFF" w:themeFill="background1"/>
            <w:vAlign w:val="center"/>
          </w:tcPr>
          <w:p>
            <w:pPr>
              <w:pStyle w:val="182"/>
            </w:pPr>
            <w:r>
              <w:rPr>
                <w:rFonts w:hint="eastAsia" w:hAnsi="宋体"/>
                <w:szCs w:val="18"/>
              </w:rPr>
              <w:t>背面外观</w:t>
            </w:r>
          </w:p>
        </w:tc>
        <w:tc>
          <w:tcPr>
            <w:tcW w:w="3119" w:type="dxa"/>
            <w:shd w:val="clear" w:color="auto" w:fill="FFFFFF" w:themeFill="background1"/>
            <w:vAlign w:val="center"/>
          </w:tcPr>
          <w:p>
            <w:pPr>
              <w:pStyle w:val="182"/>
              <w:rPr>
                <w:rFonts w:hAnsi="宋体"/>
                <w:szCs w:val="18"/>
              </w:rPr>
            </w:pPr>
            <w:r>
              <w:rPr>
                <w:rFonts w:hint="eastAsia" w:hAnsi="宋体"/>
                <w:szCs w:val="18"/>
              </w:rPr>
              <w:t>银浆斑（背面漏浆）</w:t>
            </w:r>
          </w:p>
        </w:tc>
        <w:tc>
          <w:tcPr>
            <w:tcW w:w="3390" w:type="dxa"/>
            <w:shd w:val="clear" w:color="auto" w:fill="FFFFFF" w:themeFill="background1"/>
          </w:tcPr>
          <w:p>
            <w:pPr>
              <w:pStyle w:val="182"/>
              <w:rPr>
                <w:rFonts w:hAnsi="宋体"/>
                <w:szCs w:val="18"/>
              </w:rPr>
            </w:pPr>
            <w:r>
              <w:rPr>
                <w:rFonts w:hint="eastAsia" w:hAnsi="宋体"/>
                <w:szCs w:val="18"/>
              </w:rPr>
              <w:t>精度优于0.02</w:t>
            </w:r>
            <w:r>
              <w:rPr>
                <w:rFonts w:hAnsi="宋体"/>
                <w:szCs w:val="18"/>
              </w:rPr>
              <w:t xml:space="preserve"> </w:t>
            </w:r>
            <w:r>
              <w:rPr>
                <w:rFonts w:hint="eastAsia" w:hAnsi="宋体"/>
                <w:szCs w:val="18"/>
              </w:rPr>
              <w:t>mm的游标卡尺或菲林尺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continue"/>
            <w:shd w:val="clear" w:color="auto" w:fill="FFFFFF" w:themeFill="background1"/>
            <w:vAlign w:val="center"/>
          </w:tcPr>
          <w:p>
            <w:pPr>
              <w:pStyle w:val="182"/>
            </w:pPr>
          </w:p>
        </w:tc>
        <w:tc>
          <w:tcPr>
            <w:tcW w:w="3119" w:type="dxa"/>
            <w:shd w:val="clear" w:color="auto" w:fill="FFFFFF" w:themeFill="background1"/>
            <w:vAlign w:val="center"/>
          </w:tcPr>
          <w:p>
            <w:pPr>
              <w:pStyle w:val="182"/>
              <w:rPr>
                <w:rFonts w:hAnsi="宋体"/>
                <w:szCs w:val="18"/>
              </w:rPr>
            </w:pPr>
            <w:r>
              <w:rPr>
                <w:rFonts w:hint="eastAsia" w:hAnsi="宋体"/>
                <w:szCs w:val="18"/>
              </w:rPr>
              <w:t>主栅线缺失</w:t>
            </w:r>
          </w:p>
        </w:tc>
        <w:tc>
          <w:tcPr>
            <w:tcW w:w="3390" w:type="dxa"/>
            <w:shd w:val="clear" w:color="auto" w:fill="FFFFFF" w:themeFill="background1"/>
            <w:vAlign w:val="center"/>
          </w:tcPr>
          <w:p>
            <w:pPr>
              <w:pStyle w:val="182"/>
              <w:rPr>
                <w:rFonts w:hAnsi="宋体"/>
                <w:szCs w:val="18"/>
              </w:rPr>
            </w:pPr>
            <w:r>
              <w:rPr>
                <w:rFonts w:hint="eastAsia" w:hAnsi="宋体"/>
                <w:szCs w:val="18"/>
              </w:rPr>
              <w:t>目测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25" w:type="dxa"/>
            <w:vMerge w:val="continue"/>
            <w:shd w:val="clear" w:color="auto" w:fill="FFFFFF" w:themeFill="background1"/>
            <w:vAlign w:val="center"/>
          </w:tcPr>
          <w:p>
            <w:pPr>
              <w:pStyle w:val="182"/>
            </w:pPr>
          </w:p>
        </w:tc>
        <w:tc>
          <w:tcPr>
            <w:tcW w:w="3119" w:type="dxa"/>
            <w:shd w:val="clear" w:color="auto" w:fill="FFFFFF" w:themeFill="background1"/>
            <w:vAlign w:val="center"/>
          </w:tcPr>
          <w:p>
            <w:pPr>
              <w:pStyle w:val="182"/>
              <w:rPr>
                <w:rFonts w:hAnsi="宋体"/>
                <w:szCs w:val="18"/>
              </w:rPr>
            </w:pPr>
            <w:r>
              <w:rPr>
                <w:rFonts w:hint="eastAsia" w:hAnsi="宋体"/>
                <w:szCs w:val="18"/>
              </w:rPr>
              <w:t>断栅</w:t>
            </w:r>
          </w:p>
        </w:tc>
        <w:tc>
          <w:tcPr>
            <w:tcW w:w="3390" w:type="dxa"/>
            <w:shd w:val="clear" w:color="auto" w:fill="FFFFFF" w:themeFill="background1"/>
          </w:tcPr>
          <w:p>
            <w:pPr>
              <w:pStyle w:val="182"/>
              <w:rPr>
                <w:rFonts w:hAnsi="宋体"/>
                <w:szCs w:val="18"/>
              </w:rPr>
            </w:pPr>
            <w:r>
              <w:rPr>
                <w:rFonts w:hint="eastAsia" w:hAnsi="宋体"/>
                <w:szCs w:val="18"/>
              </w:rPr>
              <w:t>精度优于0.02</w:t>
            </w:r>
            <w:r>
              <w:rPr>
                <w:rFonts w:hAnsi="宋体"/>
                <w:szCs w:val="18"/>
              </w:rPr>
              <w:t xml:space="preserve"> </w:t>
            </w:r>
            <w:r>
              <w:rPr>
                <w:rFonts w:hint="eastAsia" w:hAnsi="宋体"/>
                <w:szCs w:val="18"/>
              </w:rPr>
              <w:t>mm的游标卡尺或菲林尺</w:t>
            </w:r>
          </w:p>
        </w:tc>
      </w:tr>
    </w:tbl>
    <w:p>
      <w:pPr>
        <w:pStyle w:val="109"/>
        <w:spacing w:before="120" w:after="120"/>
      </w:pPr>
      <w:bookmarkStart w:id="87" w:name="_Toc131168582"/>
      <w:bookmarkStart w:id="88" w:name="_Toc147679104"/>
      <w:bookmarkStart w:id="89" w:name="_Toc137224792"/>
      <w:r>
        <w:rPr>
          <w:rFonts w:hint="eastAsia"/>
        </w:rPr>
        <w:t>电性能</w:t>
      </w:r>
      <w:bookmarkEnd w:id="87"/>
      <w:bookmarkEnd w:id="88"/>
      <w:bookmarkEnd w:id="89"/>
    </w:p>
    <w:p>
      <w:pPr>
        <w:pStyle w:val="69"/>
        <w:spacing w:before="120" w:after="120"/>
        <w:ind w:left="0"/>
      </w:pPr>
      <w:r>
        <w:rPr>
          <w:rFonts w:hint="eastAsia"/>
        </w:rPr>
        <w:t>电性能参数</w:t>
      </w:r>
    </w:p>
    <w:p>
      <w:pPr>
        <w:pStyle w:val="168"/>
        <w:ind w:left="0"/>
      </w:pPr>
      <w:r>
        <w:rPr>
          <w:rFonts w:hint="eastAsia"/>
        </w:rPr>
        <w:t>在A</w:t>
      </w:r>
      <w:r>
        <w:t>AA</w:t>
      </w:r>
      <w:r>
        <w:rPr>
          <w:rFonts w:hint="eastAsia"/>
        </w:rPr>
        <w:t>级以上光源、S</w:t>
      </w:r>
      <w:r>
        <w:t>TC</w:t>
      </w:r>
      <w:r>
        <w:rPr>
          <w:rFonts w:hint="eastAsia"/>
        </w:rPr>
        <w:t>条件下，按照</w:t>
      </w:r>
      <w:bookmarkStart w:id="90" w:name="OLE_LINK1"/>
      <w:bookmarkStart w:id="91" w:name="OLE_LINK2"/>
      <w:r>
        <w:rPr>
          <w:rFonts w:hint="eastAsia"/>
        </w:rPr>
        <w:t>IEC 60904-1:2020</w:t>
      </w:r>
      <w:bookmarkEnd w:id="90"/>
      <w:bookmarkEnd w:id="91"/>
      <w:r>
        <w:rPr>
          <w:rFonts w:hint="eastAsia"/>
        </w:rPr>
        <w:t>的规定进行。</w:t>
      </w:r>
    </w:p>
    <w:p>
      <w:pPr>
        <w:pStyle w:val="168"/>
        <w:ind w:left="0"/>
      </w:pPr>
      <w:r>
        <w:rPr>
          <w:rFonts w:hint="eastAsia"/>
        </w:rPr>
        <w:t>在I</w:t>
      </w:r>
      <w:r>
        <w:t>-V</w:t>
      </w:r>
      <w:r>
        <w:rPr>
          <w:rFonts w:hint="eastAsia"/>
        </w:rPr>
        <w:t>、V-</w:t>
      </w:r>
      <w:r>
        <w:t>I</w:t>
      </w:r>
      <w:r>
        <w:rPr>
          <w:rFonts w:hint="eastAsia"/>
        </w:rPr>
        <w:t>模式下测试电池电性能，电池转换效率差异应小于</w:t>
      </w:r>
      <w:r>
        <w:t>0.5%</w:t>
      </w:r>
      <w:r>
        <w:rPr>
          <w:rFonts w:hint="eastAsia"/>
        </w:rPr>
        <w:t>，确认容性是否消除。</w:t>
      </w:r>
    </w:p>
    <w:p>
      <w:pPr>
        <w:pStyle w:val="69"/>
        <w:spacing w:before="120" w:after="120"/>
        <w:ind w:left="0"/>
      </w:pPr>
      <w:r>
        <w:rPr>
          <w:rFonts w:hint="eastAsia"/>
        </w:rPr>
        <w:t>温度系数</w:t>
      </w:r>
    </w:p>
    <w:p>
      <w:pPr>
        <w:pStyle w:val="60"/>
        <w:ind w:firstLine="420"/>
      </w:pPr>
      <w:r>
        <w:rPr>
          <w:rFonts w:hint="eastAsia"/>
        </w:rPr>
        <w:t>电池电性能参数的温度系数试验应按照</w:t>
      </w:r>
      <w:r>
        <w:t>IEC 60891：2021</w:t>
      </w:r>
      <w:r>
        <w:rPr>
          <w:rFonts w:hint="eastAsia"/>
        </w:rPr>
        <w:t>的规定进行。</w:t>
      </w:r>
    </w:p>
    <w:p>
      <w:pPr>
        <w:pStyle w:val="69"/>
        <w:spacing w:before="120" w:after="120"/>
        <w:ind w:left="0"/>
      </w:pPr>
      <w:bookmarkStart w:id="92" w:name="_Hlk148713102"/>
      <w:r>
        <w:rPr>
          <w:rFonts w:hint="eastAsia"/>
        </w:rPr>
        <w:t>最大功率（P</w:t>
      </w:r>
      <w:r>
        <w:rPr>
          <w:vertAlign w:val="subscript"/>
        </w:rPr>
        <w:t>max</w:t>
      </w:r>
      <w:r>
        <w:rPr>
          <w:rFonts w:hint="eastAsia"/>
        </w:rPr>
        <w:t>）初始光致衰减比率</w:t>
      </w:r>
      <w:bookmarkEnd w:id="92"/>
    </w:p>
    <w:p>
      <w:pPr>
        <w:pStyle w:val="60"/>
        <w:ind w:firstLine="420"/>
      </w:pPr>
      <w:r>
        <w:rPr>
          <w:rFonts w:hint="eastAsia"/>
        </w:rPr>
        <w:t>最大功率（P</w:t>
      </w:r>
      <w:r>
        <w:rPr>
          <w:vertAlign w:val="subscript"/>
        </w:rPr>
        <w:t>max</w:t>
      </w:r>
      <w:r>
        <w:rPr>
          <w:rFonts w:hint="eastAsia"/>
        </w:rPr>
        <w:t>）初始光致衰减比率应在累计辐照量2</w:t>
      </w:r>
      <w:r>
        <w:t>0 KW</w:t>
      </w:r>
      <w:r>
        <w:rPr>
          <w:rFonts w:ascii="Calibri" w:hAnsi="Calibri" w:cs="Calibri"/>
        </w:rPr>
        <w:t>∙</w:t>
      </w:r>
      <w:r>
        <w:rPr>
          <w:rFonts w:hint="eastAsia"/>
        </w:rPr>
        <w:t>h</w:t>
      </w:r>
      <w:r>
        <w:t>/</w:t>
      </w:r>
      <w:r>
        <w:rPr>
          <w:rFonts w:hint="eastAsia"/>
        </w:rPr>
        <w:t>m</w:t>
      </w:r>
      <w:r>
        <w:rPr>
          <w:vertAlign w:val="superscript"/>
        </w:rPr>
        <w:t>2</w:t>
      </w:r>
      <w:r>
        <w:rPr>
          <w:rFonts w:hint="eastAsia"/>
        </w:rPr>
        <w:t>、测试温度</w:t>
      </w:r>
      <w:r>
        <w:t xml:space="preserve">60 </w:t>
      </w:r>
      <w:r>
        <w:rPr>
          <w:rFonts w:hint="eastAsia"/>
        </w:rPr>
        <w:t>℃±</w:t>
      </w:r>
      <w:r>
        <w:t xml:space="preserve">5 </w:t>
      </w:r>
      <w:r>
        <w:rPr>
          <w:rFonts w:hint="eastAsia"/>
        </w:rPr>
        <w:t>℃的条件下进行试验。</w:t>
      </w:r>
    </w:p>
    <w:p>
      <w:pPr>
        <w:pStyle w:val="69"/>
        <w:spacing w:before="120" w:after="120"/>
        <w:ind w:left="0"/>
      </w:pPr>
      <w:r>
        <w:rPr>
          <w:rFonts w:hint="eastAsia"/>
        </w:rPr>
        <w:t>双面率</w:t>
      </w:r>
    </w:p>
    <w:p>
      <w:pPr>
        <w:pStyle w:val="60"/>
        <w:ind w:firstLine="420"/>
      </w:pPr>
      <w:r>
        <w:rPr>
          <w:rFonts w:hint="eastAsia"/>
        </w:rPr>
        <w:t>双面率应按照IEC TS 60904-1-2：2019、IEC TS 63202-3：2023的规定进行。</w:t>
      </w:r>
    </w:p>
    <w:p>
      <w:pPr>
        <w:pStyle w:val="109"/>
        <w:spacing w:before="120" w:after="120"/>
      </w:pPr>
      <w:bookmarkStart w:id="93" w:name="_Toc137224793"/>
      <w:bookmarkStart w:id="94" w:name="_Toc147679105"/>
      <w:r>
        <w:rPr>
          <w:rFonts w:hint="eastAsia"/>
        </w:rPr>
        <w:t>力学性能</w:t>
      </w:r>
      <w:bookmarkEnd w:id="93"/>
      <w:bookmarkEnd w:id="94"/>
    </w:p>
    <w:p>
      <w:pPr>
        <w:pStyle w:val="69"/>
        <w:spacing w:before="120" w:after="120"/>
        <w:ind w:left="0"/>
        <w:rPr>
          <w:rFonts w:hAnsi="黑体" w:cs="黑体"/>
          <w:szCs w:val="22"/>
        </w:rPr>
      </w:pPr>
      <w:r>
        <w:rPr>
          <w:rFonts w:hint="eastAsia"/>
        </w:rPr>
        <w:t>电极</w:t>
      </w:r>
      <w:r>
        <w:rPr>
          <w:rFonts w:hint="eastAsia" w:hAnsi="黑体" w:cs="黑体"/>
          <w:szCs w:val="22"/>
        </w:rPr>
        <w:t>附着强度（电极与焊点抗拉强度）</w:t>
      </w:r>
    </w:p>
    <w:p>
      <w:pPr>
        <w:pStyle w:val="168"/>
        <w:ind w:left="0"/>
      </w:pPr>
      <w:r>
        <w:rPr>
          <w:rFonts w:hint="eastAsia"/>
        </w:rPr>
        <w:t>对焊接后的涂锡焊带与电池片进行180°的剥离试验，剥离试验示意图见图1。</w:t>
      </w:r>
    </w:p>
    <w:p>
      <w:pPr>
        <w:pStyle w:val="168"/>
        <w:ind w:left="0"/>
      </w:pPr>
      <w:r>
        <w:rPr>
          <w:rFonts w:hint="eastAsia"/>
        </w:rPr>
        <w:t>电池片放置拉力测试平台时应使用固片夹进行固定。涂锡焊带通过上夹板的开槽引出（开槽的宽度应略大于涂锡焊带的宽度）。</w:t>
      </w:r>
    </w:p>
    <w:p>
      <w:pPr>
        <w:pStyle w:val="168"/>
        <w:ind w:left="0"/>
      </w:pPr>
      <w:r>
        <w:rPr>
          <w:rFonts w:hint="eastAsia"/>
        </w:rPr>
        <w:t>在试验机上以</w:t>
      </w:r>
      <w:r>
        <w:t>20</w:t>
      </w:r>
      <w:r>
        <w:rPr>
          <w:rFonts w:hint="eastAsia"/>
        </w:rPr>
        <w:t xml:space="preserve"> mm/min的速度进行试验，试验机的测力系统准确度应为1级或优于1级，记录平均剥离强度（平均剥离力与涂锡焊带宽度的比值），应取剥离曲线中相对峰值曲线段。电极抗拉测试需监控到主栅每个焊点位置，单片电池片平均选取5根主栅进行监控，同时记录单点合格率，单点合格率为每个峰值对应值大于等于</w:t>
      </w:r>
      <w:r>
        <w:t>1</w:t>
      </w:r>
      <w:r>
        <w:rPr>
          <w:rFonts w:hint="eastAsia"/>
        </w:rPr>
        <w:t xml:space="preserve"> </w:t>
      </w:r>
      <w:r>
        <w:t>N/</w:t>
      </w:r>
      <w:r>
        <w:rPr>
          <w:rFonts w:hint="eastAsia"/>
        </w:rPr>
        <w:t>mm的个数与总峰值个数的比值。</w:t>
      </w:r>
    </w:p>
    <w:p>
      <w:pPr>
        <w:pStyle w:val="183"/>
        <w:rPr>
          <w:szCs w:val="22"/>
        </w:rPr>
      </w:pPr>
      <w:r>
        <w:rPr>
          <w:rFonts w:hint="eastAsia"/>
        </w:rPr>
        <w:t>适用于组件焊接工艺，组件叠瓦工艺、背板排片、O</w:t>
      </w:r>
      <w:r>
        <w:t>BB</w:t>
      </w:r>
      <w:r>
        <w:rPr>
          <w:rFonts w:hint="eastAsia"/>
        </w:rPr>
        <w:t>电池等除外。</w:t>
      </w:r>
    </w:p>
    <w:p>
      <w:pPr>
        <w:pStyle w:val="241"/>
        <w:numPr>
          <w:ilvl w:val="0"/>
          <w:numId w:val="0"/>
        </w:numPr>
        <w:tabs>
          <w:tab w:val="left" w:pos="360"/>
        </w:tabs>
        <w:spacing w:before="120" w:after="120"/>
      </w:pPr>
      <w:r>
        <w:drawing>
          <wp:inline distT="0" distB="0" distL="114300" distR="114300">
            <wp:extent cx="1567815" cy="723900"/>
            <wp:effectExtent l="2858" t="0" r="0" b="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18"/>
                    <a:srcRect l="3366" r="7240"/>
                    <a:stretch>
                      <a:fillRect/>
                    </a:stretch>
                  </pic:blipFill>
                  <pic:spPr>
                    <a:xfrm rot="-5400000">
                      <a:off x="0" y="0"/>
                      <a:ext cx="1574709" cy="727022"/>
                    </a:xfrm>
                    <a:prstGeom prst="rect">
                      <a:avLst/>
                    </a:prstGeom>
                    <a:noFill/>
                    <a:ln>
                      <a:noFill/>
                    </a:ln>
                  </pic:spPr>
                </pic:pic>
              </a:graphicData>
            </a:graphic>
          </wp:inline>
        </w:drawing>
      </w:r>
    </w:p>
    <w:p>
      <w:pPr>
        <w:pStyle w:val="241"/>
        <w:tabs>
          <w:tab w:val="left" w:pos="360"/>
        </w:tabs>
        <w:spacing w:before="120" w:after="120"/>
        <w:rPr>
          <w:szCs w:val="22"/>
        </w:rPr>
      </w:pPr>
      <w:r>
        <w:rPr>
          <w:rFonts w:hint="eastAsia"/>
        </w:rPr>
        <w:t>剥离试验示意图</w:t>
      </w:r>
    </w:p>
    <w:p>
      <w:pPr>
        <w:pStyle w:val="109"/>
        <w:spacing w:before="120" w:after="120"/>
      </w:pPr>
      <w:bookmarkStart w:id="95" w:name="_Toc147679106"/>
      <w:bookmarkStart w:id="96" w:name="_Toc131168583"/>
      <w:bookmarkStart w:id="97" w:name="_Toc137224794"/>
      <w:r>
        <w:rPr>
          <w:rFonts w:hint="eastAsia"/>
        </w:rPr>
        <w:t>EL</w:t>
      </w:r>
      <w:r>
        <w:rPr>
          <w:rFonts w:hint="eastAsia" w:hAnsi="黑体"/>
        </w:rPr>
        <w:t>要求</w:t>
      </w:r>
      <w:bookmarkEnd w:id="95"/>
      <w:bookmarkEnd w:id="96"/>
      <w:bookmarkEnd w:id="97"/>
    </w:p>
    <w:p>
      <w:pPr>
        <w:pStyle w:val="60"/>
        <w:ind w:firstLine="420"/>
      </w:pPr>
      <w:r>
        <w:rPr>
          <w:rFonts w:hint="eastAsia"/>
        </w:rPr>
        <w:t>E</w:t>
      </w:r>
      <w:r>
        <w:t>L</w:t>
      </w:r>
      <w:r>
        <w:rPr>
          <w:rFonts w:hint="eastAsia"/>
        </w:rPr>
        <w:t>要求应按照IEC TS 63202-2：2021的规定进行</w:t>
      </w:r>
      <w:r>
        <w:rPr>
          <w:rFonts w:hint="eastAsia" w:hAnsi="宋体"/>
        </w:rPr>
        <w:t>。</w:t>
      </w:r>
    </w:p>
    <w:p>
      <w:pPr>
        <w:pStyle w:val="109"/>
        <w:spacing w:before="120" w:after="120"/>
      </w:pPr>
      <w:bookmarkStart w:id="98" w:name="_Toc147679107"/>
      <w:bookmarkStart w:id="99" w:name="_Toc137224795"/>
      <w:bookmarkStart w:id="100" w:name="_Toc131168584"/>
      <w:r>
        <w:rPr>
          <w:rFonts w:hint="eastAsia"/>
        </w:rPr>
        <w:t>可靠性试验</w:t>
      </w:r>
      <w:bookmarkEnd w:id="98"/>
      <w:bookmarkEnd w:id="99"/>
      <w:bookmarkEnd w:id="100"/>
    </w:p>
    <w:p>
      <w:pPr>
        <w:pStyle w:val="69"/>
        <w:spacing w:before="120" w:after="120"/>
        <w:ind w:left="0"/>
      </w:pPr>
      <w:r>
        <w:rPr>
          <w:rFonts w:hint="eastAsia"/>
        </w:rPr>
        <w:t>湿热(</w:t>
      </w:r>
      <w:r>
        <w:t>DH)</w:t>
      </w:r>
      <w:r>
        <w:rPr>
          <w:rFonts w:hint="eastAsia"/>
        </w:rPr>
        <w:t>试验</w:t>
      </w:r>
    </w:p>
    <w:p>
      <w:pPr>
        <w:pStyle w:val="168"/>
        <w:spacing w:before="120" w:beforeLines="50" w:after="120" w:afterLines="50"/>
        <w:ind w:left="0"/>
        <w:rPr>
          <w:rFonts w:hAnsi="黑体"/>
        </w:rPr>
      </w:pPr>
      <w:r>
        <w:rPr>
          <w:rFonts w:hint="eastAsia" w:ascii="黑体" w:hAnsi="黑体" w:eastAsia="黑体"/>
        </w:rPr>
        <w:t>目的</w:t>
      </w:r>
    </w:p>
    <w:p>
      <w:pPr>
        <w:pStyle w:val="60"/>
        <w:ind w:firstLine="420"/>
      </w:pPr>
      <w:r>
        <w:rPr>
          <w:rFonts w:hint="eastAsia"/>
        </w:rPr>
        <w:t>评价电池在高温度、高湿度下性能衰减情况。</w:t>
      </w:r>
    </w:p>
    <w:p>
      <w:pPr>
        <w:pStyle w:val="168"/>
        <w:spacing w:before="120" w:beforeLines="50" w:after="120" w:afterLines="50"/>
        <w:ind w:left="0"/>
        <w:rPr>
          <w:rFonts w:hAnsi="黑体"/>
        </w:rPr>
      </w:pPr>
      <w:r>
        <w:rPr>
          <w:rFonts w:hint="eastAsia" w:ascii="黑体" w:hAnsi="黑体" w:eastAsia="黑体"/>
        </w:rPr>
        <w:t>装置</w:t>
      </w:r>
    </w:p>
    <w:p>
      <w:pPr>
        <w:pStyle w:val="60"/>
        <w:ind w:firstLine="420"/>
      </w:pPr>
      <w:r>
        <w:rPr>
          <w:rFonts w:hint="eastAsia"/>
        </w:rPr>
        <w:t>D</w:t>
      </w:r>
      <w:r>
        <w:t>H</w:t>
      </w:r>
      <w:r>
        <w:rPr>
          <w:rFonts w:hint="eastAsia"/>
        </w:rPr>
        <w:t>环境试验箱的要求应符合I</w:t>
      </w:r>
      <w:r>
        <w:t>EC 60668-2-78:2012</w:t>
      </w:r>
      <w:r>
        <w:rPr>
          <w:rFonts w:hint="eastAsia"/>
        </w:rPr>
        <w:t>中4</w:t>
      </w:r>
      <w:r>
        <w:t>.1</w:t>
      </w:r>
      <w:r>
        <w:rPr>
          <w:rFonts w:hint="eastAsia"/>
        </w:rPr>
        <w:t>的要求。</w:t>
      </w:r>
    </w:p>
    <w:p>
      <w:pPr>
        <w:pStyle w:val="168"/>
        <w:spacing w:before="120" w:beforeLines="50" w:after="120" w:afterLines="50"/>
        <w:ind w:left="0"/>
      </w:pPr>
      <w:r>
        <w:rPr>
          <w:rFonts w:hint="eastAsia" w:ascii="黑体" w:hAnsi="黑体" w:eastAsia="黑体"/>
        </w:rPr>
        <w:t>过程</w:t>
      </w:r>
    </w:p>
    <w:p>
      <w:pPr>
        <w:pStyle w:val="60"/>
        <w:ind w:firstLine="420"/>
        <w:rPr>
          <w:rFonts w:hAnsi="宋体"/>
        </w:rPr>
      </w:pPr>
      <w:r>
        <w:rPr>
          <w:rFonts w:hint="eastAsia" w:hAnsi="宋体"/>
        </w:rPr>
        <w:t>试验过程应包括以下步骤：</w:t>
      </w:r>
    </w:p>
    <w:p>
      <w:pPr>
        <w:pStyle w:val="178"/>
      </w:pPr>
      <w:r>
        <w:rPr>
          <w:rFonts w:hint="eastAsia"/>
        </w:rPr>
        <w:t>随机选取至少</w:t>
      </w:r>
      <w:r>
        <w:t>4</w:t>
      </w:r>
      <w:r>
        <w:rPr>
          <w:rFonts w:hint="eastAsia"/>
        </w:rPr>
        <w:t>片电池片作为测试样品；</w:t>
      </w:r>
    </w:p>
    <w:p>
      <w:pPr>
        <w:pStyle w:val="178"/>
      </w:pPr>
      <w:r>
        <w:rPr>
          <w:rFonts w:hint="eastAsia"/>
        </w:rPr>
        <w:t>采用焊带将电池样品的正负极引出，再按照附录</w:t>
      </w:r>
      <w:r>
        <w:t>C</w:t>
      </w:r>
      <w:r>
        <w:rPr>
          <w:rFonts w:hint="eastAsia"/>
        </w:rPr>
        <w:t>的规定进行层压封装；</w:t>
      </w:r>
    </w:p>
    <w:p>
      <w:pPr>
        <w:pStyle w:val="178"/>
      </w:pPr>
      <w:r>
        <w:rPr>
          <w:rFonts w:hint="eastAsia"/>
        </w:rPr>
        <w:t>对层压后的小组件进行I</w:t>
      </w:r>
      <w:r>
        <w:t>-V</w:t>
      </w:r>
      <w:r>
        <w:rPr>
          <w:rFonts w:hint="eastAsia"/>
        </w:rPr>
        <w:t>测试，作为湿热试验前的数据记录；</w:t>
      </w:r>
    </w:p>
    <w:p>
      <w:pPr>
        <w:pStyle w:val="178"/>
      </w:pPr>
      <w:r>
        <w:rPr>
          <w:rFonts w:hint="eastAsia"/>
        </w:rPr>
        <w:t>将层压后的小组件间隔且垂直放置到D</w:t>
      </w:r>
      <w:r>
        <w:t>H</w:t>
      </w:r>
      <w:r>
        <w:rPr>
          <w:rFonts w:hint="eastAsia"/>
        </w:rPr>
        <w:t>环境试验箱中，间隔</w:t>
      </w:r>
      <w:r>
        <w:t>50 h</w:t>
      </w:r>
      <w:r>
        <w:rPr>
          <w:rFonts w:hint="eastAsia"/>
        </w:rPr>
        <w:t>对该小组件进行I</w:t>
      </w:r>
      <w:r>
        <w:t>-V</w:t>
      </w:r>
      <w:r>
        <w:rPr>
          <w:rFonts w:hint="eastAsia"/>
        </w:rPr>
        <w:t>测试，作为湿热后的数据记录。若E</w:t>
      </w:r>
      <w:r>
        <w:t>L</w:t>
      </w:r>
      <w:r>
        <w:rPr>
          <w:rFonts w:hint="eastAsia"/>
        </w:rPr>
        <w:t>有明显缺陷，则停止测试。</w:t>
      </w:r>
    </w:p>
    <w:p>
      <w:pPr>
        <w:pStyle w:val="168"/>
        <w:spacing w:before="120" w:beforeLines="50" w:after="120" w:afterLines="50"/>
        <w:ind w:left="0"/>
        <w:rPr>
          <w:rFonts w:ascii="黑体" w:hAnsi="黑体" w:eastAsia="黑体"/>
        </w:rPr>
      </w:pPr>
      <w:r>
        <w:rPr>
          <w:rFonts w:hint="eastAsia" w:ascii="黑体" w:hAnsi="黑体" w:eastAsia="黑体"/>
        </w:rPr>
        <w:t>测试</w:t>
      </w:r>
    </w:p>
    <w:p>
      <w:pPr>
        <w:pStyle w:val="60"/>
        <w:ind w:firstLine="420"/>
        <w:rPr>
          <w:rFonts w:hAnsi="宋体"/>
        </w:rPr>
      </w:pPr>
      <w:r>
        <w:rPr>
          <w:rFonts w:hint="eastAsia" w:hAnsi="宋体"/>
        </w:rPr>
        <w:t>组件从D</w:t>
      </w:r>
      <w:r>
        <w:rPr>
          <w:rFonts w:hAnsi="宋体"/>
        </w:rPr>
        <w:t>H</w:t>
      </w:r>
      <w:r>
        <w:rPr>
          <w:rFonts w:hint="eastAsia" w:hAnsi="宋体"/>
        </w:rPr>
        <w:t>环境试验箱中取出放置不少于4</w:t>
      </w:r>
      <w:r>
        <w:rPr>
          <w:rFonts w:hAnsi="宋体"/>
        </w:rPr>
        <w:t xml:space="preserve"> </w:t>
      </w:r>
      <w:r>
        <w:rPr>
          <w:rFonts w:hint="eastAsia" w:hAnsi="宋体"/>
        </w:rPr>
        <w:t>h，待电池片温度恢复至室温，重复5</w:t>
      </w:r>
      <w:r>
        <w:rPr>
          <w:rFonts w:hAnsi="宋体"/>
        </w:rPr>
        <w:t>.2.1</w:t>
      </w:r>
      <w:r>
        <w:rPr>
          <w:rFonts w:hint="eastAsia" w:hAnsi="宋体"/>
        </w:rPr>
        <w:t>的测试。</w:t>
      </w:r>
    </w:p>
    <w:p>
      <w:pPr>
        <w:pStyle w:val="69"/>
        <w:spacing w:before="120" w:after="120"/>
        <w:ind w:left="0"/>
      </w:pPr>
      <w:r>
        <w:rPr>
          <w:rFonts w:hint="eastAsia"/>
        </w:rPr>
        <w:t>UV辐照测试</w:t>
      </w:r>
    </w:p>
    <w:p>
      <w:pPr>
        <w:pStyle w:val="168"/>
        <w:spacing w:before="120" w:beforeLines="50" w:after="120" w:afterLines="50"/>
        <w:ind w:left="0"/>
        <w:rPr>
          <w:rFonts w:ascii="黑体" w:hAnsi="黑体" w:eastAsia="黑体"/>
        </w:rPr>
      </w:pPr>
      <w:r>
        <w:rPr>
          <w:rFonts w:hint="eastAsia" w:ascii="黑体" w:hAnsi="黑体" w:eastAsia="黑体"/>
        </w:rPr>
        <w:t>目的</w:t>
      </w:r>
    </w:p>
    <w:p>
      <w:pPr>
        <w:pStyle w:val="60"/>
        <w:ind w:firstLine="420"/>
      </w:pPr>
      <w:r>
        <w:rPr>
          <w:rFonts w:hint="eastAsia"/>
        </w:rPr>
        <w:t>评价电池耐紫外（U</w:t>
      </w:r>
      <w:r>
        <w:t>V</w:t>
      </w:r>
      <w:r>
        <w:rPr>
          <w:rFonts w:hint="eastAsia"/>
        </w:rPr>
        <w:t>）光辐照的能力。</w:t>
      </w:r>
    </w:p>
    <w:p>
      <w:pPr>
        <w:pStyle w:val="168"/>
        <w:spacing w:before="120" w:beforeLines="50" w:after="120" w:afterLines="50"/>
        <w:ind w:left="0"/>
        <w:rPr>
          <w:rFonts w:ascii="黑体" w:hAnsi="黑体" w:eastAsia="黑体"/>
        </w:rPr>
      </w:pPr>
      <w:r>
        <w:rPr>
          <w:rFonts w:hint="eastAsia" w:ascii="黑体" w:hAnsi="黑体" w:eastAsia="黑体"/>
        </w:rPr>
        <w:t>装置</w:t>
      </w:r>
    </w:p>
    <w:p>
      <w:pPr>
        <w:pStyle w:val="60"/>
        <w:ind w:firstLine="420"/>
      </w:pPr>
      <w:r>
        <w:rPr>
          <w:rFonts w:hint="eastAsia"/>
        </w:rPr>
        <w:t>试验装置应包括U</w:t>
      </w:r>
      <w:r>
        <w:t>V</w:t>
      </w:r>
      <w:r>
        <w:rPr>
          <w:rFonts w:hint="eastAsia"/>
        </w:rPr>
        <w:t>辐照设备与电池I</w:t>
      </w:r>
      <w:r>
        <w:t>-</w:t>
      </w:r>
      <w:r>
        <w:rPr>
          <w:rFonts w:hint="eastAsia"/>
        </w:rPr>
        <w:t>V测试设备。</w:t>
      </w:r>
    </w:p>
    <w:p>
      <w:pPr>
        <w:pStyle w:val="168"/>
        <w:spacing w:before="120" w:beforeLines="50" w:after="120" w:afterLines="50"/>
        <w:ind w:left="0"/>
      </w:pPr>
      <w:r>
        <w:rPr>
          <w:rFonts w:hint="eastAsia" w:ascii="黑体" w:hAnsi="黑体" w:eastAsia="黑体"/>
        </w:rPr>
        <w:t>过程</w:t>
      </w:r>
    </w:p>
    <w:p>
      <w:pPr>
        <w:pStyle w:val="60"/>
        <w:ind w:firstLine="420"/>
      </w:pPr>
      <w:r>
        <w:rPr>
          <w:rFonts w:hint="eastAsia" w:hAnsi="宋体"/>
        </w:rPr>
        <w:t>U</w:t>
      </w:r>
      <w:r>
        <w:rPr>
          <w:rFonts w:hAnsi="宋体"/>
        </w:rPr>
        <w:t>V</w:t>
      </w:r>
      <w:r>
        <w:rPr>
          <w:rFonts w:hint="eastAsia" w:hAnsi="宋体"/>
        </w:rPr>
        <w:t>辐照试验</w:t>
      </w:r>
      <w:r>
        <w:rPr>
          <w:rFonts w:hint="eastAsia"/>
        </w:rPr>
        <w:t>按照IEC</w:t>
      </w:r>
      <w:r>
        <w:t xml:space="preserve"> 61215-1-2:2021</w:t>
      </w:r>
      <w:r>
        <w:rPr>
          <w:rFonts w:hint="eastAsia"/>
        </w:rPr>
        <w:t>的规定进行，试验条件应符合下列要求：</w:t>
      </w:r>
    </w:p>
    <w:p>
      <w:pPr>
        <w:pStyle w:val="60"/>
        <w:numPr>
          <w:ilvl w:val="1"/>
          <w:numId w:val="33"/>
        </w:numPr>
        <w:ind w:firstLineChars="0"/>
      </w:pPr>
      <w:r>
        <w:rPr>
          <w:rFonts w:hint="eastAsia"/>
        </w:rPr>
        <w:t>将至少1片电池制作成小组件，组件封装方法按照附录</w:t>
      </w:r>
      <w:r>
        <w:t>C</w:t>
      </w:r>
      <w:r>
        <w:rPr>
          <w:rFonts w:hint="eastAsia"/>
        </w:rPr>
        <w:t>的规定进行；</w:t>
      </w:r>
    </w:p>
    <w:p>
      <w:pPr>
        <w:pStyle w:val="60"/>
        <w:numPr>
          <w:ilvl w:val="1"/>
          <w:numId w:val="33"/>
        </w:numPr>
        <w:ind w:firstLineChars="0"/>
      </w:pPr>
      <w:r>
        <w:rPr>
          <w:rFonts w:hint="eastAsia"/>
        </w:rPr>
        <w:t>确保模拟器光源在280</w:t>
      </w:r>
      <w:r>
        <w:t xml:space="preserve"> </w:t>
      </w:r>
      <w:r>
        <w:rPr>
          <w:rFonts w:hint="eastAsia"/>
        </w:rPr>
        <w:t>nm和400</w:t>
      </w:r>
      <w:r>
        <w:t xml:space="preserve"> </w:t>
      </w:r>
      <w:r>
        <w:rPr>
          <w:rFonts w:hint="eastAsia"/>
        </w:rPr>
        <w:t>nm之间的波长下，辐照度不超过250</w:t>
      </w:r>
      <w:r>
        <w:t xml:space="preserve"> </w:t>
      </w:r>
      <w:r>
        <w:rPr>
          <w:rFonts w:hint="eastAsia"/>
        </w:rPr>
        <w:t>W/m</w:t>
      </w:r>
      <w:r>
        <w:rPr>
          <w:vertAlign w:val="superscript"/>
        </w:rPr>
        <w:t>2</w:t>
      </w:r>
      <w:r>
        <w:rPr>
          <w:rFonts w:hint="eastAsia"/>
        </w:rPr>
        <w:t>；</w:t>
      </w:r>
    </w:p>
    <w:p>
      <w:pPr>
        <w:pStyle w:val="60"/>
        <w:numPr>
          <w:ilvl w:val="1"/>
          <w:numId w:val="33"/>
        </w:numPr>
        <w:ind w:firstLineChars="0"/>
      </w:pPr>
      <w:r>
        <w:rPr>
          <w:rFonts w:hint="eastAsia"/>
        </w:rPr>
        <w:t>电池在测试平面上，垂直于紫外线辐照光束，确保电池温度为(60±5)℃；</w:t>
      </w:r>
    </w:p>
    <w:p>
      <w:pPr>
        <w:pStyle w:val="60"/>
        <w:numPr>
          <w:ilvl w:val="1"/>
          <w:numId w:val="33"/>
        </w:numPr>
        <w:ind w:firstLineChars="0"/>
      </w:pPr>
      <w:r>
        <w:rPr>
          <w:rFonts w:hint="eastAsia"/>
        </w:rPr>
        <w:t>在280</w:t>
      </w:r>
      <w:r>
        <w:t xml:space="preserve"> </w:t>
      </w:r>
      <w:r>
        <w:rPr>
          <w:rFonts w:hint="eastAsia"/>
        </w:rPr>
        <w:t>nm和400</w:t>
      </w:r>
      <w:r>
        <w:t xml:space="preserve"> </w:t>
      </w:r>
      <w:r>
        <w:rPr>
          <w:rFonts w:hint="eastAsia"/>
        </w:rPr>
        <w:t>nm之间的波长范围内对小组件正面进行至少15</w:t>
      </w:r>
      <w:r>
        <w:t xml:space="preserve"> </w:t>
      </w:r>
      <w:r>
        <w:rPr>
          <w:rFonts w:hint="eastAsia"/>
        </w:rPr>
        <w:t>k</w:t>
      </w:r>
      <w:r>
        <w:t>w</w:t>
      </w:r>
      <w:r>
        <w:rPr>
          <w:rFonts w:hint="eastAsia"/>
        </w:rPr>
        <w:t>h/m</w:t>
      </w:r>
      <w:r>
        <w:rPr>
          <w:vertAlign w:val="superscript"/>
        </w:rPr>
        <w:t>2</w:t>
      </w:r>
      <w:r>
        <w:rPr>
          <w:rFonts w:hint="eastAsia"/>
        </w:rPr>
        <w:t>的总紫外线辐照。</w:t>
      </w:r>
    </w:p>
    <w:p>
      <w:pPr>
        <w:pStyle w:val="168"/>
        <w:spacing w:before="120" w:beforeLines="50" w:after="120" w:afterLines="50"/>
        <w:ind w:left="0"/>
        <w:rPr>
          <w:rFonts w:ascii="黑体" w:hAnsi="黑体" w:eastAsia="黑体"/>
        </w:rPr>
      </w:pPr>
      <w:r>
        <w:rPr>
          <w:rFonts w:hint="eastAsia" w:ascii="黑体" w:hAnsi="黑体" w:eastAsia="黑体"/>
        </w:rPr>
        <w:t>测试</w:t>
      </w:r>
    </w:p>
    <w:p>
      <w:pPr>
        <w:pStyle w:val="168"/>
        <w:numPr>
          <w:ilvl w:val="0"/>
          <w:numId w:val="0"/>
        </w:numPr>
        <w:spacing w:before="120" w:beforeLines="50" w:after="120" w:afterLines="50"/>
        <w:ind w:firstLine="420" w:firstLineChars="200"/>
        <w:rPr>
          <w:rFonts w:ascii="黑体" w:hAnsi="黑体" w:eastAsia="黑体"/>
        </w:rPr>
      </w:pPr>
      <w:r>
        <w:rPr>
          <w:rFonts w:hint="eastAsia" w:hAnsi="宋体"/>
        </w:rPr>
        <w:t>U</w:t>
      </w:r>
      <w:r>
        <w:rPr>
          <w:rFonts w:hAnsi="宋体"/>
        </w:rPr>
        <w:t>V</w:t>
      </w:r>
      <w:r>
        <w:rPr>
          <w:rFonts w:hint="eastAsia" w:hAnsi="宋体"/>
        </w:rPr>
        <w:t>辐照试验后，重复5</w:t>
      </w:r>
      <w:r>
        <w:rPr>
          <w:rFonts w:hAnsi="宋体"/>
        </w:rPr>
        <w:t>.2.1</w:t>
      </w:r>
      <w:r>
        <w:rPr>
          <w:rFonts w:hint="eastAsia" w:hAnsi="宋体"/>
        </w:rPr>
        <w:t>的测试。</w:t>
      </w:r>
    </w:p>
    <w:p>
      <w:pPr>
        <w:pStyle w:val="168"/>
        <w:spacing w:before="120" w:beforeLines="50" w:after="120" w:afterLines="50"/>
        <w:ind w:left="0"/>
        <w:rPr>
          <w:rFonts w:ascii="黑体" w:hAnsi="黑体" w:eastAsia="黑体"/>
        </w:rPr>
      </w:pPr>
      <w:r>
        <w:rPr>
          <w:rFonts w:hint="eastAsia" w:ascii="黑体" w:hAnsi="黑体" w:eastAsia="黑体"/>
        </w:rPr>
        <w:t>暗衰减测试</w:t>
      </w:r>
    </w:p>
    <w:p>
      <w:pPr>
        <w:pStyle w:val="168"/>
        <w:spacing w:before="120" w:beforeLines="50" w:after="120" w:afterLines="50"/>
        <w:ind w:left="0"/>
        <w:rPr>
          <w:rFonts w:ascii="黑体" w:hAnsi="黑体" w:eastAsia="黑体"/>
        </w:rPr>
      </w:pPr>
      <w:r>
        <w:rPr>
          <w:rFonts w:hint="eastAsia" w:ascii="黑体" w:hAnsi="黑体" w:eastAsia="黑体"/>
        </w:rPr>
        <w:t>目的</w:t>
      </w:r>
    </w:p>
    <w:p>
      <w:pPr>
        <w:pStyle w:val="168"/>
        <w:numPr>
          <w:ilvl w:val="0"/>
          <w:numId w:val="0"/>
        </w:numPr>
        <w:spacing w:before="120" w:beforeLines="50" w:after="120" w:afterLines="50"/>
        <w:ind w:firstLine="420" w:firstLineChars="200"/>
        <w:rPr>
          <w:rFonts w:ascii="黑体" w:hAnsi="黑体" w:eastAsia="黑体"/>
        </w:rPr>
      </w:pPr>
      <w:r>
        <w:rPr>
          <w:rFonts w:hint="eastAsia"/>
        </w:rPr>
        <w:t>评估电池在暗态条件下储存后的效率变化。</w:t>
      </w:r>
    </w:p>
    <w:p>
      <w:pPr>
        <w:pStyle w:val="168"/>
        <w:spacing w:before="120" w:beforeLines="50" w:after="120" w:afterLines="50"/>
        <w:ind w:left="0"/>
        <w:rPr>
          <w:rFonts w:ascii="黑体" w:hAnsi="黑体" w:eastAsia="黑体"/>
        </w:rPr>
      </w:pPr>
      <w:r>
        <w:rPr>
          <w:rFonts w:hint="eastAsia" w:ascii="黑体" w:hAnsi="黑体" w:eastAsia="黑体"/>
        </w:rPr>
        <w:t>装置</w:t>
      </w:r>
    </w:p>
    <w:p>
      <w:pPr>
        <w:pStyle w:val="60"/>
        <w:ind w:firstLine="420"/>
      </w:pPr>
      <w:r>
        <w:rPr>
          <w:rFonts w:hint="eastAsia"/>
        </w:rPr>
        <w:t>试验装置为电池I</w:t>
      </w:r>
      <w:r>
        <w:t>-</w:t>
      </w:r>
      <w:r>
        <w:rPr>
          <w:rFonts w:hint="eastAsia"/>
        </w:rPr>
        <w:t>V测试设备。</w:t>
      </w:r>
    </w:p>
    <w:p>
      <w:pPr>
        <w:pStyle w:val="168"/>
        <w:spacing w:before="120" w:beforeLines="50" w:after="120" w:afterLines="50"/>
        <w:ind w:left="0"/>
        <w:rPr>
          <w:rFonts w:ascii="黑体" w:hAnsi="黑体" w:eastAsia="黑体"/>
        </w:rPr>
      </w:pPr>
      <w:r>
        <w:rPr>
          <w:rFonts w:hint="eastAsia" w:ascii="黑体" w:hAnsi="黑体" w:eastAsia="黑体"/>
        </w:rPr>
        <w:t>过程</w:t>
      </w:r>
    </w:p>
    <w:p>
      <w:pPr>
        <w:pStyle w:val="60"/>
        <w:ind w:firstLine="420"/>
      </w:pPr>
      <w:r>
        <w:rPr>
          <w:rFonts w:hint="eastAsia"/>
        </w:rPr>
        <w:t>试验过程应包括以下步骤：</w:t>
      </w:r>
    </w:p>
    <w:p>
      <w:pPr>
        <w:pStyle w:val="60"/>
        <w:numPr>
          <w:ilvl w:val="0"/>
          <w:numId w:val="34"/>
        </w:numPr>
        <w:ind w:firstLineChars="0"/>
      </w:pPr>
      <w:bookmarkStart w:id="101" w:name="_Hlk148697243"/>
      <w:r>
        <w:rPr>
          <w:rFonts w:hint="eastAsia"/>
        </w:rPr>
        <w:t>将储存箱（干燥且相对湿度＜</w:t>
      </w:r>
      <w:r>
        <w:t xml:space="preserve">60 </w:t>
      </w:r>
      <w:r>
        <w:rPr>
          <w:rFonts w:hint="eastAsia"/>
        </w:rPr>
        <w:t>%</w:t>
      </w:r>
      <w:r>
        <w:t>RH</w:t>
      </w:r>
      <w:r>
        <w:rPr>
          <w:rFonts w:hint="eastAsia"/>
        </w:rPr>
        <w:t>，暗态环境）中的每个电池效率抽检1包，对其抽取的电池进行I</w:t>
      </w:r>
      <w:r>
        <w:t>-V</w:t>
      </w:r>
      <w:r>
        <w:rPr>
          <w:rFonts w:hint="eastAsia"/>
        </w:rPr>
        <w:t>测试；</w:t>
      </w:r>
    </w:p>
    <w:p>
      <w:pPr>
        <w:pStyle w:val="60"/>
        <w:numPr>
          <w:ilvl w:val="0"/>
          <w:numId w:val="34"/>
        </w:numPr>
        <w:ind w:firstLineChars="0"/>
      </w:pPr>
      <w:r>
        <w:rPr>
          <w:rFonts w:hint="eastAsia"/>
        </w:rPr>
        <w:t>将抽取的电池继续放置储存箱中</w:t>
      </w:r>
      <w:r>
        <w:t>1</w:t>
      </w:r>
      <w:r>
        <w:rPr>
          <w:rFonts w:hint="eastAsia"/>
        </w:rPr>
        <w:t>个月，再进行I</w:t>
      </w:r>
      <w:r>
        <w:t>-V</w:t>
      </w:r>
      <w:r>
        <w:rPr>
          <w:rFonts w:hint="eastAsia"/>
        </w:rPr>
        <w:t>测试。</w:t>
      </w:r>
    </w:p>
    <w:bookmarkEnd w:id="101"/>
    <w:p>
      <w:pPr>
        <w:pStyle w:val="168"/>
        <w:spacing w:before="120" w:beforeLines="50" w:after="120" w:afterLines="50"/>
        <w:ind w:left="0"/>
        <w:rPr>
          <w:rFonts w:ascii="黑体" w:hAnsi="黑体" w:eastAsia="黑体"/>
        </w:rPr>
      </w:pPr>
      <w:r>
        <w:rPr>
          <w:rFonts w:hint="eastAsia" w:ascii="黑体" w:hAnsi="黑体" w:eastAsia="黑体"/>
        </w:rPr>
        <w:t>测试</w:t>
      </w:r>
    </w:p>
    <w:p>
      <w:pPr>
        <w:pStyle w:val="60"/>
        <w:ind w:firstLine="420"/>
        <w:rPr>
          <w:rFonts w:hAnsi="宋体"/>
        </w:rPr>
      </w:pPr>
      <w:r>
        <w:rPr>
          <w:rFonts w:hint="eastAsia" w:hAnsi="宋体"/>
        </w:rPr>
        <w:t>测试暗衰后的电池，对比暗衰试验后电池效率与标称效率的差异。</w:t>
      </w:r>
    </w:p>
    <w:p>
      <w:pPr>
        <w:pStyle w:val="60"/>
        <w:ind w:firstLine="360"/>
        <w:rPr>
          <w:sz w:val="18"/>
          <w:szCs w:val="18"/>
        </w:rPr>
      </w:pPr>
      <w:r>
        <w:rPr>
          <w:rFonts w:hint="eastAsia" w:ascii="黑体" w:hAnsi="黑体" w:eastAsia="黑体"/>
          <w:sz w:val="18"/>
          <w:szCs w:val="18"/>
        </w:rPr>
        <w:t>注：</w:t>
      </w:r>
      <w:r>
        <w:rPr>
          <w:rFonts w:hint="eastAsia"/>
          <w:sz w:val="18"/>
          <w:szCs w:val="18"/>
        </w:rPr>
        <w:t>暗衰减试验可根据供需双方需要选择是否执行。</w:t>
      </w:r>
    </w:p>
    <w:p>
      <w:pPr>
        <w:pStyle w:val="108"/>
        <w:spacing w:before="240" w:after="240"/>
      </w:pPr>
      <w:bookmarkStart w:id="102" w:name="_Toc131168488"/>
      <w:bookmarkStart w:id="103" w:name="_Toc137224796"/>
      <w:bookmarkStart w:id="104" w:name="_Toc131168585"/>
      <w:bookmarkStart w:id="105" w:name="_Toc147679108"/>
      <w:r>
        <w:rPr>
          <w:rFonts w:hint="eastAsia"/>
        </w:rPr>
        <w:t>检验规则</w:t>
      </w:r>
      <w:bookmarkEnd w:id="102"/>
      <w:bookmarkEnd w:id="103"/>
      <w:bookmarkEnd w:id="104"/>
      <w:bookmarkEnd w:id="105"/>
    </w:p>
    <w:p>
      <w:pPr>
        <w:pStyle w:val="109"/>
        <w:spacing w:before="120" w:after="120"/>
      </w:pPr>
      <w:bookmarkStart w:id="106" w:name="_Toc131168586"/>
      <w:bookmarkStart w:id="107" w:name="_Toc147679109"/>
      <w:bookmarkStart w:id="108" w:name="_Toc137224797"/>
      <w:r>
        <w:rPr>
          <w:rFonts w:hint="eastAsia"/>
        </w:rPr>
        <w:t>检验分类</w:t>
      </w:r>
      <w:bookmarkEnd w:id="106"/>
      <w:bookmarkEnd w:id="107"/>
      <w:bookmarkEnd w:id="108"/>
    </w:p>
    <w:p>
      <w:pPr>
        <w:pStyle w:val="60"/>
        <w:ind w:firstLine="420"/>
      </w:pPr>
      <w:r>
        <w:rPr>
          <w:rFonts w:hint="eastAsia"/>
        </w:rPr>
        <w:t>检验分为出厂检验和型式检验。</w:t>
      </w:r>
    </w:p>
    <w:p>
      <w:pPr>
        <w:pStyle w:val="109"/>
        <w:spacing w:before="120" w:after="120"/>
      </w:pPr>
      <w:bookmarkStart w:id="109" w:name="_Toc137224798"/>
      <w:bookmarkStart w:id="110" w:name="_Toc147679110"/>
      <w:bookmarkStart w:id="111" w:name="_Toc131168587"/>
      <w:r>
        <w:rPr>
          <w:rFonts w:hint="eastAsia"/>
        </w:rPr>
        <w:t>出厂检验</w:t>
      </w:r>
      <w:bookmarkEnd w:id="109"/>
      <w:bookmarkEnd w:id="110"/>
      <w:bookmarkEnd w:id="111"/>
    </w:p>
    <w:p>
      <w:pPr>
        <w:pStyle w:val="60"/>
        <w:ind w:firstLine="420"/>
      </w:pPr>
      <w:r>
        <w:rPr>
          <w:rFonts w:hint="eastAsia"/>
        </w:rPr>
        <w:t>出厂检验项目抽样方案按GB/T 2828.1-2012的规定进行，其检测项目、抽样方案，检查水平、接收质量限（AQL）按照第5章“试验方法”的规定执行。</w:t>
      </w:r>
    </w:p>
    <w:p>
      <w:pPr>
        <w:pStyle w:val="109"/>
        <w:spacing w:before="120" w:after="120"/>
        <w:rPr>
          <w:color w:val="000000" w:themeColor="text1"/>
          <w14:textFill>
            <w14:solidFill>
              <w14:schemeClr w14:val="tx1"/>
            </w14:solidFill>
          </w14:textFill>
        </w:rPr>
      </w:pPr>
      <w:bookmarkStart w:id="112" w:name="_Toc147679111"/>
      <w:bookmarkStart w:id="113" w:name="_Toc131168588"/>
      <w:bookmarkStart w:id="114" w:name="_Toc137224799"/>
      <w:r>
        <w:rPr>
          <w:rFonts w:hint="eastAsia"/>
          <w:color w:val="000000" w:themeColor="text1"/>
          <w14:textFill>
            <w14:solidFill>
              <w14:schemeClr w14:val="tx1"/>
            </w14:solidFill>
          </w14:textFill>
        </w:rPr>
        <w:t>型式试验</w:t>
      </w:r>
      <w:bookmarkEnd w:id="112"/>
      <w:bookmarkEnd w:id="113"/>
      <w:bookmarkEnd w:id="114"/>
    </w:p>
    <w:p>
      <w:pPr>
        <w:pStyle w:val="169"/>
        <w:ind w:left="0"/>
      </w:pPr>
      <w:r>
        <w:rPr>
          <w:rFonts w:hint="eastAsia"/>
        </w:rPr>
        <w:t>对已经评估合格的电池，型式检验每年进行一次，有下列情况之一时，在投产之前则必须进行型式检验：</w:t>
      </w:r>
    </w:p>
    <w:p>
      <w:pPr>
        <w:pStyle w:val="234"/>
        <w:numPr>
          <w:ilvl w:val="1"/>
          <w:numId w:val="34"/>
        </w:numPr>
        <w:ind w:left="0" w:firstLine="420"/>
      </w:pPr>
      <w:r>
        <w:rPr>
          <w:rFonts w:hint="eastAsia"/>
        </w:rPr>
        <w:t>新产品试制定型鉴定时；</w:t>
      </w:r>
    </w:p>
    <w:p>
      <w:pPr>
        <w:pStyle w:val="234"/>
        <w:numPr>
          <w:ilvl w:val="1"/>
          <w:numId w:val="34"/>
        </w:numPr>
        <w:ind w:left="0" w:firstLine="420"/>
      </w:pPr>
      <w:r>
        <w:rPr>
          <w:rFonts w:hint="eastAsia"/>
        </w:rPr>
        <w:t>原材料发生变化，可能影响产品性能时；</w:t>
      </w:r>
    </w:p>
    <w:p>
      <w:pPr>
        <w:pStyle w:val="234"/>
        <w:numPr>
          <w:ilvl w:val="1"/>
          <w:numId w:val="34"/>
        </w:numPr>
        <w:ind w:left="0" w:firstLine="420"/>
      </w:pPr>
      <w:r>
        <w:rPr>
          <w:rFonts w:hint="eastAsia"/>
        </w:rPr>
        <w:t>长期停产后恢复生产时；</w:t>
      </w:r>
    </w:p>
    <w:p>
      <w:pPr>
        <w:pStyle w:val="234"/>
        <w:numPr>
          <w:ilvl w:val="1"/>
          <w:numId w:val="34"/>
        </w:numPr>
        <w:ind w:left="0" w:firstLine="420"/>
      </w:pPr>
      <w:r>
        <w:rPr>
          <w:rFonts w:hint="eastAsia"/>
        </w:rPr>
        <w:t>国家质量监督机构提出型式检验要求时。</w:t>
      </w:r>
    </w:p>
    <w:p>
      <w:pPr>
        <w:pStyle w:val="169"/>
        <w:ind w:left="0"/>
      </w:pPr>
      <w:r>
        <w:rPr>
          <w:rFonts w:hint="eastAsia"/>
        </w:rPr>
        <w:t>在电池批量产品中随机抽取样品，按照T/ZZB 0091-2016的要求进行型式检验。</w:t>
      </w:r>
    </w:p>
    <w:p>
      <w:pPr>
        <w:pStyle w:val="169"/>
        <w:ind w:left="0"/>
      </w:pPr>
      <w:r>
        <w:rPr>
          <w:rFonts w:hint="eastAsia"/>
        </w:rPr>
        <w:t>型式检验检测项目应符合表</w:t>
      </w:r>
      <w:r>
        <w:t>2</w:t>
      </w:r>
      <w:r>
        <w:rPr>
          <w:rFonts w:hint="eastAsia"/>
        </w:rPr>
        <w:t>的要求，当任何一项不合格时，则判定型式试验不合格。</w:t>
      </w:r>
    </w:p>
    <w:p>
      <w:pPr>
        <w:pStyle w:val="116"/>
        <w:spacing w:before="120" w:after="120"/>
        <w:rPr>
          <w:kern w:val="2"/>
          <w:szCs w:val="21"/>
        </w:rPr>
      </w:pPr>
      <w:r>
        <w:rPr>
          <w:rFonts w:hint="eastAsia"/>
        </w:rPr>
        <w:t>检验项目</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699"/>
        <w:gridCol w:w="1633"/>
        <w:gridCol w:w="1167"/>
        <w:gridCol w:w="1311"/>
        <w:gridCol w:w="1023"/>
        <w:gridCol w:w="1167"/>
        <w:gridCol w:w="1167"/>
        <w:gridCol w:w="116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699" w:type="dxa"/>
            <w:tcBorders>
              <w:top w:val="single" w:color="auto" w:sz="8" w:space="0"/>
              <w:bottom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序号</w:t>
            </w:r>
          </w:p>
        </w:tc>
        <w:tc>
          <w:tcPr>
            <w:tcW w:w="1633" w:type="dxa"/>
            <w:tcBorders>
              <w:top w:val="single" w:color="auto" w:sz="8" w:space="0"/>
              <w:bottom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项目</w:t>
            </w:r>
          </w:p>
        </w:tc>
        <w:tc>
          <w:tcPr>
            <w:tcW w:w="1167" w:type="dxa"/>
            <w:tcBorders>
              <w:top w:val="single" w:color="auto" w:sz="8" w:space="0"/>
              <w:bottom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要求章条号</w:t>
            </w:r>
          </w:p>
        </w:tc>
        <w:tc>
          <w:tcPr>
            <w:tcW w:w="1311" w:type="dxa"/>
            <w:tcBorders>
              <w:top w:val="single" w:color="auto" w:sz="8" w:space="0"/>
              <w:bottom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试验方法章条号</w:t>
            </w:r>
          </w:p>
        </w:tc>
        <w:tc>
          <w:tcPr>
            <w:tcW w:w="1023" w:type="dxa"/>
            <w:tcBorders>
              <w:top w:val="single" w:color="auto" w:sz="8" w:space="0"/>
              <w:bottom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检查水平</w:t>
            </w:r>
          </w:p>
        </w:tc>
        <w:tc>
          <w:tcPr>
            <w:tcW w:w="1167" w:type="dxa"/>
            <w:tcBorders>
              <w:top w:val="single" w:color="auto" w:sz="8" w:space="0"/>
              <w:bottom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AQL</w:t>
            </w:r>
          </w:p>
        </w:tc>
        <w:tc>
          <w:tcPr>
            <w:tcW w:w="1167" w:type="dxa"/>
            <w:tcBorders>
              <w:top w:val="single" w:color="auto" w:sz="8" w:space="0"/>
              <w:bottom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出厂检验</w:t>
            </w:r>
          </w:p>
        </w:tc>
        <w:tc>
          <w:tcPr>
            <w:tcW w:w="1167" w:type="dxa"/>
            <w:tcBorders>
              <w:top w:val="single" w:color="auto" w:sz="8" w:space="0"/>
              <w:bottom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型式检验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9" w:type="dxa"/>
            <w:tcBorders>
              <w:top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1</w:t>
            </w:r>
          </w:p>
        </w:tc>
        <w:tc>
          <w:tcPr>
            <w:tcW w:w="1633" w:type="dxa"/>
            <w:tcBorders>
              <w:top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外观</w:t>
            </w:r>
          </w:p>
        </w:tc>
        <w:tc>
          <w:tcPr>
            <w:tcW w:w="1167" w:type="dxa"/>
            <w:tcBorders>
              <w:top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4</w:t>
            </w:r>
            <w:r>
              <w:rPr>
                <w:rFonts w:hAnsi="宋体"/>
                <w:sz w:val="18"/>
                <w:szCs w:val="18"/>
              </w:rPr>
              <w:t>.1</w:t>
            </w:r>
          </w:p>
        </w:tc>
        <w:tc>
          <w:tcPr>
            <w:tcW w:w="1311" w:type="dxa"/>
            <w:tcBorders>
              <w:top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5</w:t>
            </w:r>
            <w:r>
              <w:rPr>
                <w:rFonts w:hAnsi="宋体"/>
                <w:sz w:val="18"/>
                <w:szCs w:val="18"/>
              </w:rPr>
              <w:t>.1</w:t>
            </w:r>
          </w:p>
        </w:tc>
        <w:tc>
          <w:tcPr>
            <w:tcW w:w="1023" w:type="dxa"/>
            <w:tcBorders>
              <w:top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II</w:t>
            </w:r>
          </w:p>
        </w:tc>
        <w:tc>
          <w:tcPr>
            <w:tcW w:w="1167" w:type="dxa"/>
            <w:tcBorders>
              <w:top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1.0</w:t>
            </w:r>
          </w:p>
        </w:tc>
        <w:tc>
          <w:tcPr>
            <w:tcW w:w="1167" w:type="dxa"/>
            <w:tcBorders>
              <w:top w:val="single" w:color="auto" w:sz="8" w:space="0"/>
            </w:tcBorders>
            <w:shd w:val="clear" w:color="auto" w:fill="auto"/>
            <w:vAlign w:val="center"/>
          </w:tcPr>
          <w:p>
            <w:pPr>
              <w:pStyle w:val="234"/>
              <w:ind w:firstLine="0" w:firstLineChars="0"/>
              <w:jc w:val="center"/>
              <w:rPr>
                <w:rFonts w:hAnsi="宋体"/>
                <w:sz w:val="18"/>
                <w:szCs w:val="18"/>
              </w:rPr>
            </w:pPr>
            <w:r>
              <w:rPr>
                <w:rFonts w:hint="eastAsia" w:hAnsi="宋体"/>
                <w:sz w:val="18"/>
                <w:szCs w:val="18"/>
              </w:rPr>
              <w:t>√</w:t>
            </w:r>
          </w:p>
        </w:tc>
        <w:tc>
          <w:tcPr>
            <w:tcW w:w="1167" w:type="dxa"/>
            <w:tcBorders>
              <w:top w:val="single" w:color="auto" w:sz="8" w:space="0"/>
            </w:tcBorders>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9" w:type="dxa"/>
            <w:shd w:val="clear" w:color="auto" w:fill="auto"/>
            <w:vAlign w:val="center"/>
          </w:tcPr>
          <w:p>
            <w:pPr>
              <w:pStyle w:val="234"/>
              <w:ind w:firstLine="0" w:firstLineChars="0"/>
              <w:jc w:val="center"/>
              <w:rPr>
                <w:rFonts w:hAnsi="宋体"/>
                <w:sz w:val="18"/>
                <w:szCs w:val="18"/>
              </w:rPr>
            </w:pPr>
            <w:r>
              <w:rPr>
                <w:rFonts w:hint="eastAsia" w:hAnsi="宋体"/>
                <w:sz w:val="18"/>
                <w:szCs w:val="18"/>
              </w:rPr>
              <w:t>2</w:t>
            </w:r>
          </w:p>
        </w:tc>
        <w:tc>
          <w:tcPr>
            <w:tcW w:w="1633" w:type="dxa"/>
            <w:shd w:val="clear" w:color="auto" w:fill="auto"/>
            <w:vAlign w:val="center"/>
          </w:tcPr>
          <w:p>
            <w:pPr>
              <w:pStyle w:val="234"/>
              <w:ind w:firstLine="0" w:firstLineChars="0"/>
              <w:jc w:val="center"/>
              <w:rPr>
                <w:rFonts w:hAnsi="宋体"/>
                <w:sz w:val="18"/>
                <w:szCs w:val="18"/>
              </w:rPr>
            </w:pPr>
            <w:r>
              <w:rPr>
                <w:rFonts w:hint="eastAsia" w:hAnsi="宋体"/>
                <w:sz w:val="18"/>
                <w:szCs w:val="18"/>
              </w:rPr>
              <w:t>电性能参数</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4</w:t>
            </w:r>
            <w:r>
              <w:rPr>
                <w:rFonts w:hAnsi="宋体"/>
                <w:sz w:val="18"/>
                <w:szCs w:val="18"/>
              </w:rPr>
              <w:t>.2.1</w:t>
            </w:r>
          </w:p>
        </w:tc>
        <w:tc>
          <w:tcPr>
            <w:tcW w:w="1311" w:type="dxa"/>
            <w:shd w:val="clear" w:color="auto" w:fill="auto"/>
            <w:vAlign w:val="center"/>
          </w:tcPr>
          <w:p>
            <w:pPr>
              <w:pStyle w:val="234"/>
              <w:ind w:firstLine="0" w:firstLineChars="0"/>
              <w:jc w:val="center"/>
              <w:rPr>
                <w:rFonts w:hAnsi="宋体"/>
                <w:sz w:val="18"/>
                <w:szCs w:val="18"/>
              </w:rPr>
            </w:pPr>
            <w:r>
              <w:rPr>
                <w:rFonts w:hint="eastAsia" w:hAnsi="宋体"/>
                <w:sz w:val="18"/>
                <w:szCs w:val="18"/>
              </w:rPr>
              <w:t>5</w:t>
            </w:r>
            <w:r>
              <w:rPr>
                <w:rFonts w:hAnsi="宋体"/>
                <w:sz w:val="18"/>
                <w:szCs w:val="18"/>
              </w:rPr>
              <w:t>.2.1</w:t>
            </w:r>
          </w:p>
        </w:tc>
        <w:tc>
          <w:tcPr>
            <w:tcW w:w="1023" w:type="dxa"/>
            <w:shd w:val="clear" w:color="auto" w:fill="auto"/>
            <w:vAlign w:val="center"/>
          </w:tcPr>
          <w:p>
            <w:pPr>
              <w:pStyle w:val="234"/>
              <w:ind w:firstLine="0" w:firstLineChars="0"/>
              <w:jc w:val="center"/>
              <w:rPr>
                <w:rFonts w:hAnsi="宋体"/>
                <w:sz w:val="18"/>
                <w:szCs w:val="18"/>
              </w:rPr>
            </w:pPr>
            <w:r>
              <w:rPr>
                <w:rFonts w:hint="eastAsia" w:hAnsi="宋体"/>
                <w:sz w:val="18"/>
                <w:szCs w:val="18"/>
              </w:rPr>
              <w:t>I</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0.1</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9" w:type="dxa"/>
            <w:shd w:val="clear" w:color="auto" w:fill="auto"/>
            <w:vAlign w:val="center"/>
          </w:tcPr>
          <w:p>
            <w:pPr>
              <w:pStyle w:val="234"/>
              <w:ind w:firstLine="0" w:firstLineChars="0"/>
              <w:jc w:val="center"/>
              <w:rPr>
                <w:rFonts w:hAnsi="宋体"/>
                <w:sz w:val="18"/>
                <w:szCs w:val="18"/>
              </w:rPr>
            </w:pPr>
            <w:r>
              <w:rPr>
                <w:rFonts w:hint="eastAsia" w:hAnsi="宋体"/>
                <w:sz w:val="18"/>
                <w:szCs w:val="18"/>
              </w:rPr>
              <w:t>3</w:t>
            </w:r>
          </w:p>
        </w:tc>
        <w:tc>
          <w:tcPr>
            <w:tcW w:w="1633" w:type="dxa"/>
            <w:shd w:val="clear" w:color="auto" w:fill="auto"/>
            <w:vAlign w:val="center"/>
          </w:tcPr>
          <w:p>
            <w:pPr>
              <w:pStyle w:val="234"/>
              <w:ind w:firstLine="0" w:firstLineChars="0"/>
              <w:jc w:val="center"/>
              <w:rPr>
                <w:rFonts w:hAnsi="宋体"/>
                <w:sz w:val="18"/>
                <w:szCs w:val="18"/>
              </w:rPr>
            </w:pPr>
            <w:r>
              <w:rPr>
                <w:rFonts w:hint="eastAsia" w:hAnsi="宋体"/>
                <w:color w:val="000000" w:themeColor="text1"/>
                <w:sz w:val="18"/>
                <w:szCs w:val="18"/>
                <w14:textFill>
                  <w14:solidFill>
                    <w14:schemeClr w14:val="tx1"/>
                  </w14:solidFill>
                </w14:textFill>
              </w:rPr>
              <w:t>温度系数</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4</w:t>
            </w:r>
            <w:r>
              <w:rPr>
                <w:rFonts w:hAnsi="宋体"/>
                <w:sz w:val="18"/>
                <w:szCs w:val="18"/>
              </w:rPr>
              <w:t>.2.2</w:t>
            </w:r>
          </w:p>
        </w:tc>
        <w:tc>
          <w:tcPr>
            <w:tcW w:w="1311" w:type="dxa"/>
            <w:shd w:val="clear" w:color="auto" w:fill="auto"/>
            <w:vAlign w:val="center"/>
          </w:tcPr>
          <w:p>
            <w:pPr>
              <w:pStyle w:val="234"/>
              <w:ind w:firstLine="0" w:firstLineChars="0"/>
              <w:jc w:val="center"/>
              <w:rPr>
                <w:rFonts w:hAnsi="宋体"/>
                <w:sz w:val="18"/>
                <w:szCs w:val="18"/>
              </w:rPr>
            </w:pPr>
            <w:r>
              <w:rPr>
                <w:rFonts w:hint="eastAsia" w:hAnsi="宋体"/>
                <w:sz w:val="18"/>
                <w:szCs w:val="18"/>
              </w:rPr>
              <w:t>5</w:t>
            </w:r>
            <w:r>
              <w:rPr>
                <w:rFonts w:hAnsi="宋体"/>
                <w:sz w:val="18"/>
                <w:szCs w:val="18"/>
              </w:rPr>
              <w:t>.2.2</w:t>
            </w:r>
          </w:p>
        </w:tc>
        <w:tc>
          <w:tcPr>
            <w:tcW w:w="1023" w:type="dxa"/>
            <w:shd w:val="clear" w:color="auto" w:fill="auto"/>
            <w:vAlign w:val="center"/>
          </w:tcPr>
          <w:p>
            <w:pPr>
              <w:pStyle w:val="234"/>
              <w:ind w:firstLine="0" w:firstLineChars="0"/>
              <w:jc w:val="center"/>
              <w:rPr>
                <w:rFonts w:hAnsi="宋体"/>
                <w:sz w:val="18"/>
                <w:szCs w:val="18"/>
              </w:rPr>
            </w:pPr>
            <w:r>
              <w:rPr>
                <w:rFonts w:hint="eastAsia" w:hAnsi="宋体"/>
                <w:sz w:val="18"/>
                <w:szCs w:val="18"/>
              </w:rPr>
              <w:t>S-1</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0.25</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9" w:type="dxa"/>
            <w:shd w:val="clear" w:color="auto" w:fill="auto"/>
            <w:vAlign w:val="center"/>
          </w:tcPr>
          <w:p>
            <w:pPr>
              <w:pStyle w:val="234"/>
              <w:ind w:firstLine="0" w:firstLineChars="0"/>
              <w:jc w:val="center"/>
              <w:rPr>
                <w:rFonts w:hAnsi="宋体"/>
                <w:sz w:val="18"/>
                <w:szCs w:val="18"/>
              </w:rPr>
            </w:pPr>
            <w:r>
              <w:rPr>
                <w:rFonts w:hint="eastAsia" w:hAnsi="宋体"/>
                <w:sz w:val="18"/>
                <w:szCs w:val="18"/>
              </w:rPr>
              <w:t>4</w:t>
            </w:r>
          </w:p>
        </w:tc>
        <w:tc>
          <w:tcPr>
            <w:tcW w:w="1633" w:type="dxa"/>
            <w:shd w:val="clear" w:color="auto" w:fill="auto"/>
            <w:vAlign w:val="center"/>
          </w:tcPr>
          <w:p>
            <w:pPr>
              <w:pStyle w:val="234"/>
              <w:ind w:firstLine="0" w:firstLineChars="0"/>
              <w:jc w:val="center"/>
              <w:rPr>
                <w:rFonts w:hAnsi="宋体"/>
                <w:sz w:val="18"/>
                <w:szCs w:val="18"/>
              </w:rPr>
            </w:pPr>
            <w:r>
              <w:rPr>
                <w:rFonts w:hint="eastAsia" w:hAnsi="宋体"/>
                <w:sz w:val="18"/>
                <w:szCs w:val="18"/>
              </w:rPr>
              <w:t>最大功率初始光衰减比率</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4</w:t>
            </w:r>
            <w:r>
              <w:rPr>
                <w:rFonts w:hAnsi="宋体"/>
                <w:sz w:val="18"/>
                <w:szCs w:val="18"/>
              </w:rPr>
              <w:t>.2.3</w:t>
            </w:r>
          </w:p>
        </w:tc>
        <w:tc>
          <w:tcPr>
            <w:tcW w:w="1311" w:type="dxa"/>
            <w:shd w:val="clear" w:color="auto" w:fill="auto"/>
            <w:vAlign w:val="center"/>
          </w:tcPr>
          <w:p>
            <w:pPr>
              <w:pStyle w:val="234"/>
              <w:ind w:firstLine="0" w:firstLineChars="0"/>
              <w:jc w:val="center"/>
              <w:rPr>
                <w:rFonts w:hAnsi="宋体"/>
                <w:sz w:val="18"/>
                <w:szCs w:val="18"/>
              </w:rPr>
            </w:pPr>
            <w:r>
              <w:rPr>
                <w:rFonts w:hint="eastAsia" w:hAnsi="宋体"/>
                <w:sz w:val="18"/>
                <w:szCs w:val="18"/>
              </w:rPr>
              <w:t>5</w:t>
            </w:r>
            <w:r>
              <w:rPr>
                <w:rFonts w:hAnsi="宋体"/>
                <w:sz w:val="18"/>
                <w:szCs w:val="18"/>
              </w:rPr>
              <w:t>.2.3</w:t>
            </w:r>
          </w:p>
        </w:tc>
        <w:tc>
          <w:tcPr>
            <w:tcW w:w="1023" w:type="dxa"/>
            <w:shd w:val="clear" w:color="auto" w:fill="auto"/>
            <w:vAlign w:val="center"/>
          </w:tcPr>
          <w:p>
            <w:pPr>
              <w:pStyle w:val="234"/>
              <w:ind w:firstLine="0" w:firstLineChars="0"/>
              <w:jc w:val="center"/>
              <w:rPr>
                <w:rFonts w:hAnsi="宋体"/>
                <w:sz w:val="18"/>
                <w:szCs w:val="18"/>
              </w:rPr>
            </w:pPr>
            <w:r>
              <w:rPr>
                <w:rFonts w:hint="eastAsia" w:hAnsi="宋体"/>
                <w:sz w:val="18"/>
                <w:szCs w:val="18"/>
              </w:rPr>
              <w:t>S-1</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0.25</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9" w:type="dxa"/>
            <w:shd w:val="clear" w:color="auto" w:fill="auto"/>
            <w:vAlign w:val="center"/>
          </w:tcPr>
          <w:p>
            <w:pPr>
              <w:pStyle w:val="234"/>
              <w:ind w:firstLine="0" w:firstLineChars="0"/>
              <w:jc w:val="center"/>
              <w:rPr>
                <w:rFonts w:hAnsi="宋体"/>
                <w:sz w:val="18"/>
                <w:szCs w:val="18"/>
              </w:rPr>
            </w:pPr>
            <w:r>
              <w:rPr>
                <w:rFonts w:hint="eastAsia" w:hAnsi="宋体"/>
                <w:sz w:val="18"/>
                <w:szCs w:val="18"/>
              </w:rPr>
              <w:t>5</w:t>
            </w:r>
          </w:p>
        </w:tc>
        <w:tc>
          <w:tcPr>
            <w:tcW w:w="1633" w:type="dxa"/>
            <w:shd w:val="clear" w:color="auto" w:fill="auto"/>
            <w:vAlign w:val="center"/>
          </w:tcPr>
          <w:p>
            <w:pPr>
              <w:pStyle w:val="234"/>
              <w:ind w:firstLine="0" w:firstLineChars="0"/>
              <w:jc w:val="center"/>
              <w:rPr>
                <w:rFonts w:hAnsi="宋体"/>
                <w:sz w:val="18"/>
                <w:szCs w:val="18"/>
              </w:rPr>
            </w:pPr>
            <w:r>
              <w:rPr>
                <w:rFonts w:hint="eastAsia" w:hAnsi="宋体"/>
                <w:sz w:val="18"/>
                <w:szCs w:val="18"/>
              </w:rPr>
              <w:t>双面率</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4</w:t>
            </w:r>
            <w:r>
              <w:rPr>
                <w:rFonts w:hAnsi="宋体"/>
                <w:sz w:val="18"/>
                <w:szCs w:val="18"/>
              </w:rPr>
              <w:t>.2.4</w:t>
            </w:r>
          </w:p>
        </w:tc>
        <w:tc>
          <w:tcPr>
            <w:tcW w:w="1311" w:type="dxa"/>
            <w:shd w:val="clear" w:color="auto" w:fill="auto"/>
            <w:vAlign w:val="center"/>
          </w:tcPr>
          <w:p>
            <w:pPr>
              <w:pStyle w:val="234"/>
              <w:ind w:firstLine="0" w:firstLineChars="0"/>
              <w:jc w:val="center"/>
              <w:rPr>
                <w:rFonts w:hAnsi="宋体"/>
                <w:sz w:val="18"/>
                <w:szCs w:val="18"/>
              </w:rPr>
            </w:pPr>
            <w:r>
              <w:rPr>
                <w:rFonts w:hint="eastAsia" w:hAnsi="宋体"/>
                <w:sz w:val="18"/>
                <w:szCs w:val="18"/>
              </w:rPr>
              <w:t>5</w:t>
            </w:r>
            <w:r>
              <w:rPr>
                <w:rFonts w:hAnsi="宋体"/>
                <w:sz w:val="18"/>
                <w:szCs w:val="18"/>
              </w:rPr>
              <w:t>.2.4</w:t>
            </w:r>
          </w:p>
        </w:tc>
        <w:tc>
          <w:tcPr>
            <w:tcW w:w="1023" w:type="dxa"/>
            <w:shd w:val="clear" w:color="auto" w:fill="auto"/>
            <w:vAlign w:val="center"/>
          </w:tcPr>
          <w:p>
            <w:pPr>
              <w:pStyle w:val="234"/>
              <w:ind w:firstLine="0" w:firstLineChars="0"/>
              <w:jc w:val="center"/>
              <w:rPr>
                <w:rFonts w:hAnsi="宋体"/>
                <w:sz w:val="18"/>
                <w:szCs w:val="18"/>
              </w:rPr>
            </w:pPr>
            <w:r>
              <w:rPr>
                <w:rFonts w:hint="eastAsia" w:hAnsi="宋体"/>
                <w:sz w:val="18"/>
                <w:szCs w:val="18"/>
              </w:rPr>
              <w:t>S-1</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0.1</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9" w:type="dxa"/>
            <w:shd w:val="clear" w:color="auto" w:fill="auto"/>
            <w:vAlign w:val="center"/>
          </w:tcPr>
          <w:p>
            <w:pPr>
              <w:pStyle w:val="234"/>
              <w:ind w:firstLine="0" w:firstLineChars="0"/>
              <w:jc w:val="center"/>
              <w:rPr>
                <w:rFonts w:hAnsi="宋体"/>
                <w:sz w:val="18"/>
                <w:szCs w:val="18"/>
              </w:rPr>
            </w:pPr>
            <w:r>
              <w:rPr>
                <w:rFonts w:hint="eastAsia" w:hAnsi="宋体"/>
                <w:sz w:val="18"/>
                <w:szCs w:val="18"/>
              </w:rPr>
              <w:t>6</w:t>
            </w:r>
          </w:p>
        </w:tc>
        <w:tc>
          <w:tcPr>
            <w:tcW w:w="1633" w:type="dxa"/>
            <w:shd w:val="clear" w:color="auto" w:fill="auto"/>
            <w:vAlign w:val="center"/>
          </w:tcPr>
          <w:p>
            <w:pPr>
              <w:pStyle w:val="234"/>
              <w:ind w:firstLine="0" w:firstLineChars="0"/>
              <w:jc w:val="center"/>
              <w:rPr>
                <w:rFonts w:hAnsi="宋体"/>
                <w:sz w:val="18"/>
                <w:szCs w:val="18"/>
              </w:rPr>
            </w:pPr>
            <w:r>
              <w:rPr>
                <w:rFonts w:hint="eastAsia" w:hAnsi="宋体"/>
                <w:sz w:val="18"/>
                <w:szCs w:val="18"/>
              </w:rPr>
              <w:t>EL要求</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4</w:t>
            </w:r>
            <w:r>
              <w:rPr>
                <w:rFonts w:hAnsi="宋体"/>
                <w:sz w:val="18"/>
                <w:szCs w:val="18"/>
              </w:rPr>
              <w:t>.4</w:t>
            </w:r>
          </w:p>
        </w:tc>
        <w:tc>
          <w:tcPr>
            <w:tcW w:w="1311" w:type="dxa"/>
            <w:shd w:val="clear" w:color="auto" w:fill="auto"/>
            <w:vAlign w:val="center"/>
          </w:tcPr>
          <w:p>
            <w:pPr>
              <w:pStyle w:val="234"/>
              <w:ind w:firstLine="0" w:firstLineChars="0"/>
              <w:jc w:val="center"/>
              <w:rPr>
                <w:rFonts w:hAnsi="宋体"/>
                <w:sz w:val="18"/>
                <w:szCs w:val="18"/>
              </w:rPr>
            </w:pPr>
            <w:r>
              <w:rPr>
                <w:rFonts w:hint="eastAsia" w:hAnsi="宋体"/>
                <w:sz w:val="18"/>
                <w:szCs w:val="18"/>
              </w:rPr>
              <w:t>5</w:t>
            </w:r>
            <w:r>
              <w:rPr>
                <w:rFonts w:hAnsi="宋体"/>
                <w:sz w:val="18"/>
                <w:szCs w:val="18"/>
              </w:rPr>
              <w:t>.4</w:t>
            </w:r>
          </w:p>
        </w:tc>
        <w:tc>
          <w:tcPr>
            <w:tcW w:w="1023" w:type="dxa"/>
            <w:shd w:val="clear" w:color="auto" w:fill="auto"/>
            <w:vAlign w:val="center"/>
          </w:tcPr>
          <w:p>
            <w:pPr>
              <w:pStyle w:val="234"/>
              <w:ind w:firstLine="0" w:firstLineChars="0"/>
              <w:jc w:val="center"/>
              <w:rPr>
                <w:rFonts w:hAnsi="宋体"/>
                <w:sz w:val="18"/>
                <w:szCs w:val="18"/>
              </w:rPr>
            </w:pPr>
            <w:r>
              <w:rPr>
                <w:rFonts w:hint="eastAsia" w:hAnsi="宋体"/>
                <w:sz w:val="18"/>
                <w:szCs w:val="18"/>
              </w:rPr>
              <w:t>S-</w:t>
            </w:r>
            <w:r>
              <w:rPr>
                <w:rFonts w:hAnsi="宋体"/>
                <w:sz w:val="18"/>
                <w:szCs w:val="18"/>
              </w:rPr>
              <w:t>1</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1.0</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9" w:type="dxa"/>
            <w:shd w:val="clear" w:color="auto" w:fill="auto"/>
            <w:vAlign w:val="center"/>
          </w:tcPr>
          <w:p>
            <w:pPr>
              <w:pStyle w:val="234"/>
              <w:ind w:firstLine="0" w:firstLineChars="0"/>
              <w:jc w:val="center"/>
              <w:rPr>
                <w:rFonts w:hAnsi="宋体"/>
                <w:sz w:val="18"/>
                <w:szCs w:val="18"/>
              </w:rPr>
            </w:pPr>
            <w:r>
              <w:rPr>
                <w:rFonts w:hint="eastAsia" w:hAnsi="宋体"/>
                <w:sz w:val="18"/>
                <w:szCs w:val="18"/>
              </w:rPr>
              <w:t>7</w:t>
            </w:r>
          </w:p>
        </w:tc>
        <w:tc>
          <w:tcPr>
            <w:tcW w:w="1633" w:type="dxa"/>
            <w:shd w:val="clear" w:color="auto" w:fill="auto"/>
            <w:vAlign w:val="center"/>
          </w:tcPr>
          <w:p>
            <w:pPr>
              <w:pStyle w:val="234"/>
              <w:ind w:firstLine="0" w:firstLineChars="0"/>
              <w:jc w:val="center"/>
              <w:rPr>
                <w:rFonts w:hAnsi="宋体"/>
                <w:sz w:val="18"/>
                <w:szCs w:val="18"/>
              </w:rPr>
            </w:pPr>
            <w:r>
              <w:rPr>
                <w:rFonts w:hint="eastAsia" w:hAnsi="宋体"/>
                <w:sz w:val="18"/>
                <w:szCs w:val="18"/>
              </w:rPr>
              <w:t>拉力测试</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4</w:t>
            </w:r>
            <w:r>
              <w:rPr>
                <w:rFonts w:hAnsi="宋体"/>
                <w:sz w:val="18"/>
                <w:szCs w:val="18"/>
              </w:rPr>
              <w:t>.3.1</w:t>
            </w:r>
          </w:p>
        </w:tc>
        <w:tc>
          <w:tcPr>
            <w:tcW w:w="1311" w:type="dxa"/>
            <w:shd w:val="clear" w:color="auto" w:fill="auto"/>
            <w:vAlign w:val="center"/>
          </w:tcPr>
          <w:p>
            <w:pPr>
              <w:pStyle w:val="234"/>
              <w:ind w:firstLine="0" w:firstLineChars="0"/>
              <w:jc w:val="center"/>
              <w:rPr>
                <w:rFonts w:hAnsi="宋体"/>
                <w:sz w:val="18"/>
                <w:szCs w:val="18"/>
              </w:rPr>
            </w:pPr>
            <w:r>
              <w:rPr>
                <w:rFonts w:hint="eastAsia" w:hAnsi="宋体"/>
                <w:sz w:val="18"/>
                <w:szCs w:val="18"/>
              </w:rPr>
              <w:t>5</w:t>
            </w:r>
            <w:r>
              <w:rPr>
                <w:rFonts w:hAnsi="宋体"/>
                <w:sz w:val="18"/>
                <w:szCs w:val="18"/>
              </w:rPr>
              <w:t>.3.1</w:t>
            </w:r>
          </w:p>
        </w:tc>
        <w:tc>
          <w:tcPr>
            <w:tcW w:w="1023" w:type="dxa"/>
            <w:shd w:val="clear" w:color="auto" w:fill="auto"/>
            <w:vAlign w:val="center"/>
          </w:tcPr>
          <w:p>
            <w:pPr>
              <w:pStyle w:val="234"/>
              <w:ind w:firstLine="0" w:firstLineChars="0"/>
              <w:jc w:val="center"/>
              <w:rPr>
                <w:rFonts w:hAnsi="宋体"/>
                <w:sz w:val="18"/>
                <w:szCs w:val="18"/>
              </w:rPr>
            </w:pPr>
            <w:r>
              <w:rPr>
                <w:rFonts w:hint="eastAsia" w:hAnsi="宋体"/>
                <w:sz w:val="18"/>
                <w:szCs w:val="18"/>
              </w:rPr>
              <w:t>S-1</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0.25</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9" w:type="dxa"/>
            <w:shd w:val="clear" w:color="auto" w:fill="auto"/>
            <w:vAlign w:val="center"/>
          </w:tcPr>
          <w:p>
            <w:pPr>
              <w:pStyle w:val="234"/>
              <w:ind w:firstLine="0" w:firstLineChars="0"/>
              <w:jc w:val="center"/>
              <w:rPr>
                <w:rFonts w:hAnsi="宋体"/>
                <w:sz w:val="18"/>
                <w:szCs w:val="18"/>
              </w:rPr>
            </w:pPr>
            <w:r>
              <w:rPr>
                <w:rFonts w:hAnsi="宋体"/>
                <w:sz w:val="18"/>
                <w:szCs w:val="18"/>
              </w:rPr>
              <w:t>8</w:t>
            </w:r>
          </w:p>
        </w:tc>
        <w:tc>
          <w:tcPr>
            <w:tcW w:w="1633" w:type="dxa"/>
            <w:shd w:val="clear" w:color="auto" w:fill="auto"/>
            <w:vAlign w:val="center"/>
          </w:tcPr>
          <w:p>
            <w:pPr>
              <w:pStyle w:val="234"/>
              <w:ind w:firstLine="0" w:firstLineChars="0"/>
              <w:jc w:val="center"/>
              <w:rPr>
                <w:rFonts w:hAnsi="宋体"/>
                <w:sz w:val="18"/>
                <w:szCs w:val="18"/>
              </w:rPr>
            </w:pPr>
            <w:r>
              <w:rPr>
                <w:rFonts w:hint="eastAsia" w:hAnsi="宋体"/>
                <w:sz w:val="18"/>
                <w:szCs w:val="18"/>
              </w:rPr>
              <w:t>湿热试验</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4</w:t>
            </w:r>
            <w:r>
              <w:rPr>
                <w:rFonts w:hAnsi="宋体"/>
                <w:sz w:val="18"/>
                <w:szCs w:val="18"/>
              </w:rPr>
              <w:t>.5.1</w:t>
            </w:r>
          </w:p>
        </w:tc>
        <w:tc>
          <w:tcPr>
            <w:tcW w:w="1311" w:type="dxa"/>
            <w:shd w:val="clear" w:color="auto" w:fill="auto"/>
            <w:vAlign w:val="center"/>
          </w:tcPr>
          <w:p>
            <w:pPr>
              <w:pStyle w:val="234"/>
              <w:ind w:firstLine="0" w:firstLineChars="0"/>
              <w:jc w:val="center"/>
              <w:rPr>
                <w:rFonts w:hAnsi="宋体"/>
                <w:sz w:val="18"/>
                <w:szCs w:val="18"/>
              </w:rPr>
            </w:pPr>
            <w:r>
              <w:rPr>
                <w:rFonts w:hint="eastAsia" w:hAnsi="宋体"/>
                <w:sz w:val="18"/>
                <w:szCs w:val="18"/>
              </w:rPr>
              <w:t>5</w:t>
            </w:r>
            <w:r>
              <w:rPr>
                <w:rFonts w:hAnsi="宋体"/>
                <w:sz w:val="18"/>
                <w:szCs w:val="18"/>
              </w:rPr>
              <w:t>.5.1</w:t>
            </w:r>
          </w:p>
        </w:tc>
        <w:tc>
          <w:tcPr>
            <w:tcW w:w="1023" w:type="dxa"/>
            <w:shd w:val="clear" w:color="auto" w:fill="auto"/>
            <w:vAlign w:val="center"/>
          </w:tcPr>
          <w:p>
            <w:pPr>
              <w:pStyle w:val="234"/>
              <w:ind w:firstLine="0" w:firstLineChars="0"/>
              <w:jc w:val="center"/>
              <w:rPr>
                <w:rFonts w:hAnsi="宋体"/>
                <w:sz w:val="18"/>
                <w:szCs w:val="18"/>
              </w:rPr>
            </w:pPr>
            <w:r>
              <w:rPr>
                <w:rFonts w:hint="eastAsia" w:hAnsi="宋体"/>
                <w:sz w:val="18"/>
                <w:szCs w:val="18"/>
              </w:rPr>
              <w:t>-</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9" w:type="dxa"/>
            <w:shd w:val="clear" w:color="auto" w:fill="auto"/>
            <w:vAlign w:val="center"/>
          </w:tcPr>
          <w:p>
            <w:pPr>
              <w:pStyle w:val="234"/>
              <w:ind w:firstLine="0" w:firstLineChars="0"/>
              <w:jc w:val="center"/>
              <w:rPr>
                <w:rFonts w:hAnsi="宋体"/>
                <w:sz w:val="18"/>
                <w:szCs w:val="18"/>
              </w:rPr>
            </w:pPr>
            <w:r>
              <w:rPr>
                <w:rFonts w:hAnsi="宋体"/>
                <w:sz w:val="18"/>
                <w:szCs w:val="18"/>
              </w:rPr>
              <w:t>9</w:t>
            </w:r>
          </w:p>
        </w:tc>
        <w:tc>
          <w:tcPr>
            <w:tcW w:w="1633" w:type="dxa"/>
            <w:shd w:val="clear" w:color="auto" w:fill="auto"/>
            <w:vAlign w:val="center"/>
          </w:tcPr>
          <w:p>
            <w:pPr>
              <w:pStyle w:val="234"/>
              <w:ind w:firstLine="0" w:firstLineChars="0"/>
              <w:jc w:val="center"/>
              <w:rPr>
                <w:rFonts w:hAnsi="宋体"/>
                <w:sz w:val="18"/>
                <w:szCs w:val="18"/>
              </w:rPr>
            </w:pPr>
            <w:r>
              <w:rPr>
                <w:rFonts w:hint="eastAsia" w:hAnsi="宋体"/>
                <w:sz w:val="18"/>
                <w:szCs w:val="18"/>
              </w:rPr>
              <w:t>UV辐照测试</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4</w:t>
            </w:r>
            <w:r>
              <w:rPr>
                <w:rFonts w:hAnsi="宋体"/>
                <w:sz w:val="18"/>
                <w:szCs w:val="18"/>
              </w:rPr>
              <w:t>.5.2</w:t>
            </w:r>
          </w:p>
        </w:tc>
        <w:tc>
          <w:tcPr>
            <w:tcW w:w="1311" w:type="dxa"/>
            <w:shd w:val="clear" w:color="auto" w:fill="auto"/>
            <w:vAlign w:val="center"/>
          </w:tcPr>
          <w:p>
            <w:pPr>
              <w:pStyle w:val="234"/>
              <w:ind w:firstLine="0" w:firstLineChars="0"/>
              <w:jc w:val="center"/>
              <w:rPr>
                <w:rFonts w:hAnsi="宋体"/>
                <w:sz w:val="18"/>
                <w:szCs w:val="18"/>
              </w:rPr>
            </w:pPr>
            <w:r>
              <w:rPr>
                <w:rFonts w:hint="eastAsia" w:hAnsi="宋体"/>
                <w:sz w:val="18"/>
                <w:szCs w:val="18"/>
              </w:rPr>
              <w:t>5</w:t>
            </w:r>
            <w:r>
              <w:rPr>
                <w:rFonts w:hAnsi="宋体"/>
                <w:sz w:val="18"/>
                <w:szCs w:val="18"/>
              </w:rPr>
              <w:t>.5.2</w:t>
            </w:r>
          </w:p>
        </w:tc>
        <w:tc>
          <w:tcPr>
            <w:tcW w:w="1023" w:type="dxa"/>
            <w:shd w:val="clear" w:color="auto" w:fill="auto"/>
            <w:vAlign w:val="center"/>
          </w:tcPr>
          <w:p>
            <w:pPr>
              <w:pStyle w:val="234"/>
              <w:ind w:firstLine="0" w:firstLineChars="0"/>
              <w:jc w:val="center"/>
              <w:rPr>
                <w:rFonts w:hAnsi="宋体"/>
                <w:sz w:val="18"/>
                <w:szCs w:val="18"/>
              </w:rPr>
            </w:pPr>
            <w:r>
              <w:rPr>
                <w:rFonts w:hint="eastAsia" w:hAnsi="宋体"/>
                <w:sz w:val="18"/>
                <w:szCs w:val="18"/>
              </w:rPr>
              <w:t>-</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w:t>
            </w:r>
          </w:p>
        </w:tc>
        <w:tc>
          <w:tcPr>
            <w:tcW w:w="1167" w:type="dxa"/>
            <w:shd w:val="clear" w:color="auto" w:fill="auto"/>
            <w:vAlign w:val="center"/>
          </w:tcPr>
          <w:p>
            <w:pPr>
              <w:pStyle w:val="234"/>
              <w:ind w:firstLine="0" w:firstLineChars="0"/>
              <w:jc w:val="center"/>
              <w:rPr>
                <w:rFonts w:hAnsi="宋体"/>
                <w:sz w:val="18"/>
                <w:szCs w:val="18"/>
              </w:rPr>
            </w:pPr>
            <w:r>
              <w:rPr>
                <w:rFonts w:hint="eastAsia" w:hAnsi="宋体"/>
                <w:sz w:val="18"/>
                <w:szCs w:val="18"/>
              </w:rPr>
              <w:t>-</w:t>
            </w:r>
          </w:p>
        </w:tc>
        <w:tc>
          <w:tcPr>
            <w:tcW w:w="1167" w:type="dxa"/>
            <w:shd w:val="clear" w:color="auto" w:fill="auto"/>
            <w:vAlign w:val="center"/>
          </w:tcPr>
          <w:p>
            <w:pPr>
              <w:spacing w:line="240" w:lineRule="auto"/>
              <w:jc w:val="center"/>
              <w:rPr>
                <w:rFonts w:ascii="宋体" w:hAnsi="宋体"/>
                <w:sz w:val="18"/>
                <w:szCs w:val="18"/>
              </w:rPr>
            </w:pPr>
            <w:r>
              <w:rPr>
                <w:rFonts w:hint="eastAsia" w:ascii="宋体" w:hAnsi="宋体"/>
                <w:sz w:val="18"/>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8"/>
            <w:shd w:val="clear" w:color="auto" w:fill="auto"/>
            <w:vAlign w:val="center"/>
          </w:tcPr>
          <w:p>
            <w:pPr>
              <w:pStyle w:val="183"/>
              <w:rPr>
                <w:rFonts w:hAnsi="宋体"/>
              </w:rPr>
            </w:pPr>
            <w:r>
              <w:rPr>
                <w:rFonts w:hint="eastAsia"/>
              </w:rPr>
              <w:t xml:space="preserve"> “√”表示进行该项检查，“-”表示不进行该项检查。</w:t>
            </w:r>
          </w:p>
        </w:tc>
      </w:tr>
    </w:tbl>
    <w:p>
      <w:pPr>
        <w:pStyle w:val="60"/>
        <w:ind w:firstLine="420"/>
      </w:pPr>
      <w:bookmarkStart w:id="115" w:name="_Toc131168489"/>
      <w:bookmarkStart w:id="116" w:name="_Toc131168589"/>
    </w:p>
    <w:p>
      <w:pPr>
        <w:pStyle w:val="108"/>
        <w:spacing w:before="240" w:after="240"/>
      </w:pPr>
      <w:bookmarkStart w:id="117" w:name="_Toc147679112"/>
      <w:bookmarkStart w:id="118" w:name="_Toc137224800"/>
      <w:r>
        <w:rPr>
          <w:rFonts w:hint="eastAsia"/>
        </w:rPr>
        <w:t>包装、标识、储存和运输</w:t>
      </w:r>
      <w:bookmarkEnd w:id="115"/>
      <w:bookmarkEnd w:id="116"/>
      <w:bookmarkEnd w:id="117"/>
      <w:bookmarkEnd w:id="118"/>
    </w:p>
    <w:p>
      <w:pPr>
        <w:pStyle w:val="109"/>
        <w:spacing w:before="120" w:after="120"/>
      </w:pPr>
      <w:bookmarkStart w:id="119" w:name="_Toc131168590"/>
      <w:bookmarkStart w:id="120" w:name="_Toc137224801"/>
      <w:bookmarkStart w:id="121" w:name="_Toc147679113"/>
      <w:r>
        <w:rPr>
          <w:rFonts w:hint="eastAsia"/>
        </w:rPr>
        <w:t>包装</w:t>
      </w:r>
      <w:bookmarkEnd w:id="119"/>
      <w:bookmarkEnd w:id="120"/>
      <w:bookmarkEnd w:id="121"/>
    </w:p>
    <w:p>
      <w:pPr>
        <w:pStyle w:val="169"/>
        <w:ind w:left="0"/>
      </w:pPr>
      <w:r>
        <w:rPr>
          <w:rFonts w:hint="eastAsia"/>
        </w:rPr>
        <w:t>包装应分内包装和外包装。</w:t>
      </w:r>
    </w:p>
    <w:p>
      <w:pPr>
        <w:pStyle w:val="169"/>
        <w:ind w:left="0"/>
      </w:pPr>
      <w:r>
        <w:rPr>
          <w:rFonts w:hint="eastAsia"/>
        </w:rPr>
        <w:t>内包装应保证电池片清洁、防潮。</w:t>
      </w:r>
    </w:p>
    <w:p>
      <w:pPr>
        <w:pStyle w:val="169"/>
        <w:ind w:left="0"/>
      </w:pPr>
      <w:r>
        <w:rPr>
          <w:rFonts w:hint="eastAsia"/>
        </w:rPr>
        <w:t>外包装箱应满足ISTA 3A:2008测试要求，确保电池在储存、运输过程中免受损害。</w:t>
      </w:r>
    </w:p>
    <w:p>
      <w:pPr>
        <w:pStyle w:val="169"/>
        <w:ind w:left="0"/>
      </w:pPr>
      <w:r>
        <w:rPr>
          <w:rFonts w:hint="eastAsia"/>
        </w:rPr>
        <w:t>外包装应采用环保材料，可回收循环使用。</w:t>
      </w:r>
    </w:p>
    <w:p>
      <w:pPr>
        <w:pStyle w:val="109"/>
        <w:spacing w:before="120" w:after="120"/>
      </w:pPr>
      <w:bookmarkStart w:id="122" w:name="_Toc131168591"/>
      <w:bookmarkStart w:id="123" w:name="_Toc147679114"/>
      <w:bookmarkStart w:id="124" w:name="_Toc137224802"/>
      <w:r>
        <w:rPr>
          <w:rFonts w:hint="eastAsia"/>
        </w:rPr>
        <w:t>标识</w:t>
      </w:r>
      <w:bookmarkEnd w:id="122"/>
      <w:bookmarkEnd w:id="123"/>
      <w:bookmarkEnd w:id="124"/>
    </w:p>
    <w:p>
      <w:pPr>
        <w:pStyle w:val="60"/>
        <w:ind w:firstLine="420"/>
      </w:pPr>
      <w:r>
        <w:rPr>
          <w:rFonts w:hint="eastAsia"/>
        </w:rPr>
        <w:t>内包装盒上应包含但不限于制造商名称、产品名称、产品型号、转换效率或最大功率、生产日期和批号等信息。</w:t>
      </w:r>
    </w:p>
    <w:p>
      <w:pPr>
        <w:pStyle w:val="109"/>
        <w:spacing w:before="120" w:after="120"/>
      </w:pPr>
      <w:bookmarkStart w:id="125" w:name="_Toc147679115"/>
      <w:bookmarkStart w:id="126" w:name="_Toc131168592"/>
      <w:bookmarkStart w:id="127" w:name="_Toc137224803"/>
      <w:r>
        <w:rPr>
          <w:rFonts w:hint="eastAsia"/>
        </w:rPr>
        <w:t>储存</w:t>
      </w:r>
      <w:bookmarkEnd w:id="125"/>
      <w:bookmarkEnd w:id="126"/>
      <w:bookmarkEnd w:id="127"/>
    </w:p>
    <w:p>
      <w:pPr>
        <w:pStyle w:val="60"/>
        <w:ind w:firstLine="420"/>
      </w:pPr>
      <w:r>
        <w:rPr>
          <w:rFonts w:hint="eastAsia"/>
        </w:rPr>
        <w:t>产品应在干燥(相对湿度＜</w:t>
      </w:r>
      <w:r>
        <w:t xml:space="preserve">60 </w:t>
      </w:r>
      <w:r>
        <w:rPr>
          <w:rFonts w:hint="eastAsia"/>
        </w:rPr>
        <w:t>%</w:t>
      </w:r>
      <w:r>
        <w:t>RH)</w:t>
      </w:r>
      <w:r>
        <w:rPr>
          <w:rFonts w:hint="eastAsia"/>
        </w:rPr>
        <w:t>、无腐蚀性气体的环境条件下储存，存储期限应符合产品详细规范的规定。</w:t>
      </w:r>
    </w:p>
    <w:p>
      <w:pPr>
        <w:pStyle w:val="234"/>
        <w:rPr>
          <w:szCs w:val="22"/>
        </w:rPr>
      </w:pPr>
      <w:r>
        <w:rPr>
          <w:rFonts w:hint="eastAsia"/>
          <w:szCs w:val="22"/>
        </w:rPr>
        <w:t>装卸产品及运输过程中，严禁与具有挥发腐蚀性及坚硬品混装混运，确保无机械损伤、避免受潮，必须有防震、防撞击、防挤压及防雨淋等措施。</w:t>
      </w:r>
    </w:p>
    <w:p>
      <w:pPr>
        <w:pStyle w:val="234"/>
        <w:ind w:firstLine="360"/>
        <w:rPr>
          <w:sz w:val="18"/>
          <w:szCs w:val="18"/>
        </w:rPr>
      </w:pPr>
      <w:r>
        <w:rPr>
          <w:rFonts w:hint="eastAsia" w:ascii="黑体" w:hAnsi="黑体" w:eastAsia="黑体"/>
          <w:sz w:val="18"/>
          <w:szCs w:val="18"/>
        </w:rPr>
        <w:t>注：</w:t>
      </w:r>
      <w:r>
        <w:rPr>
          <w:rFonts w:hint="eastAsia"/>
          <w:sz w:val="18"/>
          <w:szCs w:val="18"/>
        </w:rPr>
        <w:t>在正常运输、储存条件下，自出厂之日</w:t>
      </w:r>
      <w:r>
        <w:rPr>
          <w:sz w:val="18"/>
          <w:szCs w:val="18"/>
        </w:rPr>
        <w:t>30</w:t>
      </w:r>
      <w:r>
        <w:rPr>
          <w:rFonts w:hint="eastAsia"/>
          <w:sz w:val="18"/>
          <w:szCs w:val="18"/>
        </w:rPr>
        <w:t>内电池完成封装。</w:t>
      </w:r>
      <w:r>
        <w:rPr>
          <w:sz w:val="18"/>
          <w:szCs w:val="18"/>
        </w:rPr>
        <w:t xml:space="preserve"> </w:t>
      </w:r>
    </w:p>
    <w:p>
      <w:pPr>
        <w:pStyle w:val="109"/>
        <w:spacing w:before="120" w:after="120"/>
      </w:pPr>
      <w:bookmarkStart w:id="128" w:name="_Toc137224804"/>
      <w:bookmarkStart w:id="129" w:name="_Toc147679116"/>
      <w:bookmarkStart w:id="130" w:name="_Toc131168593"/>
      <w:r>
        <w:rPr>
          <w:rFonts w:hint="eastAsia"/>
        </w:rPr>
        <w:t>运输</w:t>
      </w:r>
      <w:bookmarkEnd w:id="128"/>
      <w:bookmarkEnd w:id="129"/>
      <w:bookmarkEnd w:id="130"/>
    </w:p>
    <w:p>
      <w:pPr>
        <w:pStyle w:val="60"/>
        <w:ind w:firstLine="420"/>
      </w:pPr>
      <w:r>
        <w:rPr>
          <w:rFonts w:hint="eastAsia"/>
        </w:rPr>
        <w:t>应使用有缓冲材料的包装进行运输，运输过程中做好防护措施。</w:t>
      </w:r>
    </w:p>
    <w:p>
      <w:pPr>
        <w:pStyle w:val="60"/>
        <w:ind w:firstLine="420"/>
      </w:pPr>
      <w:r>
        <w:rPr>
          <w:rFonts w:hint="eastAsia"/>
        </w:rPr>
        <w:t>在运输时应防止碰撞及日晒雨淋；在搬运过程中应保持外包装完好，小心轻放，防止损坏。</w:t>
      </w:r>
    </w:p>
    <w:bookmarkEnd w:id="27"/>
    <w:p>
      <w:pPr>
        <w:pStyle w:val="60"/>
        <w:ind w:firstLine="0" w:firstLineChars="0"/>
        <w:sectPr>
          <w:footerReference r:id="rId15" w:type="default"/>
          <w:footerReference r:id="rId16" w:type="even"/>
          <w:pgSz w:w="11906" w:h="16838"/>
          <w:pgMar w:top="567" w:right="1134" w:bottom="1134" w:left="1134" w:header="1418" w:footer="1134" w:gutter="284"/>
          <w:pgNumType w:fmt="decimal" w:start="1"/>
          <w:cols w:space="425" w:num="1"/>
          <w:formProt w:val="0"/>
          <w:docGrid w:linePitch="312" w:charSpace="0"/>
        </w:sectPr>
      </w:pPr>
      <w:bookmarkStart w:id="131" w:name="BookMark5"/>
    </w:p>
    <w:p>
      <w:pPr>
        <w:pStyle w:val="60"/>
        <w:ind w:firstLine="0" w:firstLineChars="0"/>
        <w:jc w:val="center"/>
        <w:rPr>
          <w:rFonts w:ascii="黑体" w:hAnsi="黑体" w:eastAsia="黑体"/>
        </w:rPr>
      </w:pPr>
      <w:r>
        <w:rPr>
          <w:rFonts w:hint="eastAsia" w:ascii="黑体" w:hAnsi="黑体" w:eastAsia="黑体"/>
        </w:rPr>
        <w:t>附录A</w:t>
      </w:r>
      <w:r>
        <w:rPr>
          <w:rFonts w:ascii="黑体" w:hAnsi="黑体" w:eastAsia="黑体"/>
        </w:rPr>
        <w:br w:type="textWrapping"/>
      </w:r>
      <w:r>
        <w:rPr>
          <w:rFonts w:hint="eastAsia" w:ascii="黑体" w:hAnsi="黑体" w:eastAsia="黑体"/>
        </w:rPr>
        <w:t>（规范性）</w:t>
      </w:r>
      <w:r>
        <w:rPr>
          <w:rFonts w:ascii="黑体" w:hAnsi="黑体" w:eastAsia="黑体"/>
        </w:rPr>
        <w:br w:type="textWrapping"/>
      </w:r>
      <w:r>
        <w:rPr>
          <w:rFonts w:hint="eastAsia" w:ascii="黑体" w:hAnsi="黑体" w:eastAsia="黑体"/>
        </w:rPr>
        <w:t>电池外观要求</w:t>
      </w:r>
    </w:p>
    <w:p>
      <w:pPr>
        <w:pStyle w:val="60"/>
        <w:ind w:firstLine="420"/>
        <w:jc w:val="left"/>
        <w:rPr>
          <w:rFonts w:hAnsi="宋体"/>
        </w:rPr>
      </w:pPr>
      <w:r>
        <w:rPr>
          <w:rFonts w:hint="eastAsia" w:hAnsi="宋体"/>
        </w:rPr>
        <w:t>电池的外观要求应符合表</w:t>
      </w:r>
      <w:r>
        <w:rPr>
          <w:rFonts w:hAnsi="宋体"/>
        </w:rPr>
        <w:t>A.1</w:t>
      </w:r>
      <w:r>
        <w:rPr>
          <w:rFonts w:hint="eastAsia" w:hAnsi="宋体"/>
        </w:rPr>
        <w:t>的规定。</w:t>
      </w:r>
    </w:p>
    <w:p>
      <w:pPr>
        <w:pStyle w:val="60"/>
        <w:ind w:firstLine="0" w:firstLineChars="0"/>
        <w:jc w:val="center"/>
        <w:rPr>
          <w:rFonts w:ascii="黑体" w:hAnsi="黑体" w:eastAsia="黑体"/>
        </w:rPr>
      </w:pPr>
      <w:r>
        <w:rPr>
          <w:rFonts w:hint="eastAsia" w:ascii="黑体" w:hAnsi="黑体" w:eastAsia="黑体"/>
        </w:rPr>
        <w:t>表</w:t>
      </w:r>
      <w:r>
        <w:rPr>
          <w:rFonts w:ascii="黑体" w:hAnsi="黑体" w:eastAsia="黑体"/>
        </w:rPr>
        <w:t xml:space="preserve">A.1  </w:t>
      </w:r>
      <w:r>
        <w:rPr>
          <w:rFonts w:hint="eastAsia" w:ascii="黑体" w:hAnsi="黑体" w:eastAsia="黑体"/>
        </w:rPr>
        <w:t>电池外观要求</w:t>
      </w:r>
    </w:p>
    <w:tbl>
      <w:tblPr>
        <w:tblStyle w:val="2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31"/>
        <w:gridCol w:w="396"/>
        <w:gridCol w:w="24"/>
        <w:gridCol w:w="512"/>
        <w:gridCol w:w="32"/>
        <w:gridCol w:w="754"/>
        <w:gridCol w:w="3713"/>
        <w:gridCol w:w="31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453" w:type="pct"/>
            <w:shd w:val="clear" w:color="auto" w:fill="auto"/>
            <w:vAlign w:val="center"/>
          </w:tcPr>
          <w:p>
            <w:pPr>
              <w:pStyle w:val="182"/>
            </w:pPr>
            <w:bookmarkStart w:id="132" w:name="_Hlk148739316"/>
            <w:r>
              <w:rPr>
                <w:rFonts w:hint="eastAsia"/>
              </w:rPr>
              <w:t>类别</w:t>
            </w:r>
          </w:p>
        </w:tc>
        <w:tc>
          <w:tcPr>
            <w:tcW w:w="891" w:type="pct"/>
            <w:gridSpan w:val="5"/>
            <w:shd w:val="clear" w:color="auto" w:fill="auto"/>
            <w:vAlign w:val="center"/>
          </w:tcPr>
          <w:p>
            <w:pPr>
              <w:pStyle w:val="182"/>
            </w:pPr>
            <w:r>
              <w:rPr>
                <w:rFonts w:hint="eastAsia"/>
              </w:rPr>
              <w:t>项目</w:t>
            </w:r>
          </w:p>
        </w:tc>
        <w:tc>
          <w:tcPr>
            <w:tcW w:w="1991" w:type="pct"/>
            <w:shd w:val="clear" w:color="auto" w:fill="auto"/>
            <w:vAlign w:val="center"/>
          </w:tcPr>
          <w:p>
            <w:pPr>
              <w:pStyle w:val="182"/>
            </w:pPr>
            <w:r>
              <w:rPr>
                <w:rFonts w:hint="eastAsia"/>
              </w:rPr>
              <w:t>要求</w:t>
            </w:r>
          </w:p>
        </w:tc>
        <w:tc>
          <w:tcPr>
            <w:tcW w:w="1665" w:type="pct"/>
            <w:vAlign w:val="center"/>
          </w:tcPr>
          <w:p>
            <w:pPr>
              <w:pStyle w:val="182"/>
            </w:pPr>
            <w:r>
              <w:rPr>
                <w:rFonts w:hint="eastAsia"/>
              </w:rPr>
              <w:t>外观图示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53" w:type="pct"/>
            <w:vMerge w:val="restart"/>
            <w:shd w:val="clear" w:color="auto" w:fill="auto"/>
            <w:vAlign w:val="center"/>
          </w:tcPr>
          <w:p>
            <w:pPr>
              <w:pStyle w:val="182"/>
            </w:pPr>
            <w:r>
              <w:rPr>
                <w:rFonts w:hint="eastAsia"/>
              </w:rPr>
              <w:t>尺寸</w:t>
            </w:r>
          </w:p>
        </w:tc>
        <w:tc>
          <w:tcPr>
            <w:tcW w:w="891" w:type="pct"/>
            <w:gridSpan w:val="5"/>
            <w:shd w:val="clear" w:color="auto" w:fill="auto"/>
            <w:vAlign w:val="center"/>
          </w:tcPr>
          <w:p>
            <w:pPr>
              <w:pStyle w:val="182"/>
            </w:pPr>
            <w:r>
              <w:rPr>
                <w:rFonts w:hint="eastAsia"/>
              </w:rPr>
              <w:t>边长</w:t>
            </w:r>
          </w:p>
        </w:tc>
        <w:tc>
          <w:tcPr>
            <w:tcW w:w="1991" w:type="pct"/>
            <w:shd w:val="clear" w:color="auto" w:fill="auto"/>
            <w:vAlign w:val="center"/>
          </w:tcPr>
          <w:p>
            <w:pPr>
              <w:pStyle w:val="182"/>
            </w:pPr>
            <w:r>
              <w:rPr>
                <w:rFonts w:hint="eastAsia"/>
              </w:rPr>
              <w:t>尺寸偏差±0.</w:t>
            </w:r>
            <w:r>
              <w:t>2</w:t>
            </w:r>
            <w:r>
              <w:rPr>
                <w:rFonts w:hint="eastAsia"/>
              </w:rPr>
              <w:t>5</w:t>
            </w:r>
            <w:r>
              <w:t xml:space="preserve"> mm</w:t>
            </w:r>
          </w:p>
        </w:tc>
        <w:tc>
          <w:tcPr>
            <w:tcW w:w="1665" w:type="pct"/>
            <w:vAlign w:val="center"/>
          </w:tcPr>
          <w:p>
            <w:pPr>
              <w:pStyle w:val="182"/>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53" w:type="pct"/>
            <w:vMerge w:val="continue"/>
            <w:shd w:val="clear" w:color="auto" w:fill="auto"/>
            <w:vAlign w:val="center"/>
          </w:tcPr>
          <w:p>
            <w:pPr>
              <w:pStyle w:val="182"/>
            </w:pPr>
          </w:p>
        </w:tc>
        <w:tc>
          <w:tcPr>
            <w:tcW w:w="891" w:type="pct"/>
            <w:gridSpan w:val="5"/>
            <w:shd w:val="clear" w:color="auto" w:fill="auto"/>
            <w:vAlign w:val="center"/>
          </w:tcPr>
          <w:p>
            <w:pPr>
              <w:pStyle w:val="182"/>
            </w:pPr>
            <w:r>
              <w:rPr>
                <w:rFonts w:hint="eastAsia"/>
              </w:rPr>
              <w:t>直径</w:t>
            </w:r>
          </w:p>
        </w:tc>
        <w:tc>
          <w:tcPr>
            <w:tcW w:w="1991" w:type="pct"/>
            <w:shd w:val="clear" w:color="auto" w:fill="auto"/>
            <w:vAlign w:val="center"/>
          </w:tcPr>
          <w:p>
            <w:pPr>
              <w:pStyle w:val="182"/>
            </w:pPr>
            <w:r>
              <w:rPr>
                <w:rFonts w:hint="eastAsia"/>
              </w:rPr>
              <w:t>尺寸偏差±0.5</w:t>
            </w:r>
            <w:r>
              <w:t xml:space="preserve"> mm</w:t>
            </w:r>
          </w:p>
        </w:tc>
        <w:tc>
          <w:tcPr>
            <w:tcW w:w="1665" w:type="pct"/>
            <w:vAlign w:val="center"/>
          </w:tcPr>
          <w:p>
            <w:pPr>
              <w:pStyle w:val="182"/>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53" w:type="pct"/>
            <w:vMerge w:val="restart"/>
            <w:shd w:val="clear" w:color="auto" w:fill="auto"/>
            <w:vAlign w:val="center"/>
          </w:tcPr>
          <w:p>
            <w:pPr>
              <w:pStyle w:val="182"/>
            </w:pPr>
            <w:r>
              <w:rPr>
                <w:rFonts w:hint="eastAsia"/>
              </w:rPr>
              <w:t>总体外观</w:t>
            </w:r>
          </w:p>
        </w:tc>
        <w:tc>
          <w:tcPr>
            <w:tcW w:w="891" w:type="pct"/>
            <w:gridSpan w:val="5"/>
            <w:shd w:val="clear" w:color="auto" w:fill="auto"/>
            <w:vAlign w:val="center"/>
          </w:tcPr>
          <w:p>
            <w:pPr>
              <w:pStyle w:val="182"/>
            </w:pPr>
            <w:r>
              <w:rPr>
                <w:rFonts w:hint="eastAsia"/>
              </w:rPr>
              <w:t>裂纹穿孔</w:t>
            </w:r>
          </w:p>
        </w:tc>
        <w:tc>
          <w:tcPr>
            <w:tcW w:w="1991" w:type="pct"/>
            <w:shd w:val="clear" w:color="auto" w:fill="auto"/>
            <w:vAlign w:val="center"/>
          </w:tcPr>
          <w:p>
            <w:pPr>
              <w:pStyle w:val="182"/>
            </w:pPr>
            <w:r>
              <w:rPr>
                <w:rFonts w:hint="eastAsia"/>
              </w:rPr>
              <w:t>不允许</w:t>
            </w:r>
          </w:p>
        </w:tc>
        <w:tc>
          <w:tcPr>
            <w:tcW w:w="1665" w:type="pct"/>
            <w:vAlign w:val="center"/>
          </w:tcPr>
          <w:p>
            <w:pPr>
              <w:pStyle w:val="182"/>
            </w:pPr>
            <w:r>
              <w:rPr>
                <w:rFonts w:hint="eastAsia"/>
              </w:rPr>
              <w:drawing>
                <wp:inline distT="0" distB="0" distL="0" distR="0">
                  <wp:extent cx="1051560" cy="798195"/>
                  <wp:effectExtent l="0" t="0" r="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058680" cy="803803"/>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53" w:type="pct"/>
            <w:vMerge w:val="continue"/>
            <w:shd w:val="clear" w:color="auto" w:fill="auto"/>
            <w:vAlign w:val="center"/>
          </w:tcPr>
          <w:p>
            <w:pPr>
              <w:pStyle w:val="182"/>
            </w:pPr>
          </w:p>
        </w:tc>
        <w:tc>
          <w:tcPr>
            <w:tcW w:w="891" w:type="pct"/>
            <w:gridSpan w:val="5"/>
            <w:shd w:val="clear" w:color="auto" w:fill="auto"/>
            <w:vAlign w:val="center"/>
          </w:tcPr>
          <w:p>
            <w:pPr>
              <w:pStyle w:val="182"/>
            </w:pPr>
            <w:r>
              <w:rPr>
                <w:rFonts w:hint="eastAsia"/>
              </w:rPr>
              <w:t>缺口</w:t>
            </w:r>
          </w:p>
        </w:tc>
        <w:tc>
          <w:tcPr>
            <w:tcW w:w="1991" w:type="pct"/>
            <w:shd w:val="clear" w:color="auto" w:fill="auto"/>
            <w:vAlign w:val="center"/>
          </w:tcPr>
          <w:p>
            <w:pPr>
              <w:pStyle w:val="182"/>
            </w:pPr>
            <w:r>
              <w:t>U型/V型缺口不允许</w:t>
            </w:r>
          </w:p>
        </w:tc>
        <w:tc>
          <w:tcPr>
            <w:tcW w:w="1665" w:type="pct"/>
            <w:vAlign w:val="center"/>
          </w:tcPr>
          <w:p>
            <w:pPr>
              <w:pStyle w:val="182"/>
            </w:pPr>
            <w:r>
              <w:drawing>
                <wp:inline distT="0" distB="0" distL="0" distR="0">
                  <wp:extent cx="993140" cy="663575"/>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004643" cy="671194"/>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53" w:type="pct"/>
            <w:vMerge w:val="continue"/>
            <w:shd w:val="clear" w:color="auto" w:fill="auto"/>
            <w:vAlign w:val="center"/>
          </w:tcPr>
          <w:p>
            <w:pPr>
              <w:pStyle w:val="182"/>
            </w:pPr>
          </w:p>
        </w:tc>
        <w:tc>
          <w:tcPr>
            <w:tcW w:w="891" w:type="pct"/>
            <w:gridSpan w:val="5"/>
            <w:shd w:val="clear" w:color="auto" w:fill="auto"/>
            <w:vAlign w:val="center"/>
          </w:tcPr>
          <w:p>
            <w:pPr>
              <w:pStyle w:val="182"/>
            </w:pPr>
            <w:r>
              <w:rPr>
                <w:rFonts w:hint="eastAsia"/>
              </w:rPr>
              <w:t>正面崩边</w:t>
            </w:r>
          </w:p>
        </w:tc>
        <w:tc>
          <w:tcPr>
            <w:tcW w:w="1991" w:type="pct"/>
            <w:shd w:val="clear" w:color="auto" w:fill="auto"/>
            <w:vAlign w:val="center"/>
          </w:tcPr>
          <w:p>
            <w:pPr>
              <w:pStyle w:val="182"/>
            </w:pPr>
            <w:r>
              <w:rPr>
                <w:rFonts w:hint="eastAsia"/>
              </w:rPr>
              <w:t>单个≤（</w:t>
            </w:r>
            <w:r>
              <w:t>1</w:t>
            </w:r>
            <w:r>
              <w:rPr>
                <w:rFonts w:hint="eastAsia"/>
              </w:rPr>
              <w:t>×</w:t>
            </w:r>
            <w:r>
              <w:t>0.5</w:t>
            </w:r>
            <w:r>
              <w:rPr>
                <w:rFonts w:hint="eastAsia"/>
              </w:rPr>
              <w:t xml:space="preserve">） </w:t>
            </w:r>
            <w:r>
              <w:t xml:space="preserve">mm²，个数≤4 </w:t>
            </w:r>
            <w:r>
              <w:rPr>
                <w:rFonts w:hint="eastAsia"/>
              </w:rPr>
              <w:t>个;</w:t>
            </w:r>
          </w:p>
          <w:p>
            <w:pPr>
              <w:pStyle w:val="182"/>
            </w:pPr>
            <w:r>
              <w:rPr>
                <w:rFonts w:hint="eastAsia"/>
              </w:rPr>
              <w:t>面积≤</w:t>
            </w:r>
            <w:r>
              <w:t>0.1 mm</w:t>
            </w:r>
            <w:r>
              <w:rPr>
                <w:vertAlign w:val="superscript"/>
              </w:rPr>
              <w:t>2</w:t>
            </w:r>
            <w:r>
              <w:rPr>
                <w:rFonts w:hint="eastAsia"/>
              </w:rPr>
              <w:t>，个数≤</w:t>
            </w:r>
            <w:r>
              <w:t>5个；</w:t>
            </w:r>
          </w:p>
          <w:p>
            <w:pPr>
              <w:pStyle w:val="182"/>
            </w:pPr>
            <w:r>
              <w:rPr>
                <w:rFonts w:hint="eastAsia"/>
              </w:rPr>
              <w:t>单片不多于</w:t>
            </w:r>
            <w:r>
              <w:t>5处崩边；</w:t>
            </w:r>
          </w:p>
          <w:p>
            <w:pPr>
              <w:pStyle w:val="182"/>
            </w:pPr>
            <w:r>
              <w:rPr>
                <w:rFonts w:hint="eastAsia"/>
              </w:rPr>
              <w:t>崩边距主栅距离＞</w:t>
            </w:r>
            <w:r>
              <w:t>5mm。</w:t>
            </w:r>
          </w:p>
        </w:tc>
        <w:tc>
          <w:tcPr>
            <w:tcW w:w="1665" w:type="pct"/>
            <w:vAlign w:val="center"/>
          </w:tcPr>
          <w:p>
            <w:pPr>
              <w:pStyle w:val="182"/>
            </w:pPr>
            <w:r>
              <w:rPr>
                <w:rFonts w:hint="eastAsia"/>
              </w:rPr>
              <w:drawing>
                <wp:inline distT="0" distB="0" distL="0" distR="0">
                  <wp:extent cx="1056640" cy="7493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060507" cy="752042"/>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53" w:type="pct"/>
            <w:vMerge w:val="continue"/>
            <w:shd w:val="clear" w:color="auto" w:fill="auto"/>
            <w:vAlign w:val="center"/>
          </w:tcPr>
          <w:p>
            <w:pPr>
              <w:pStyle w:val="182"/>
            </w:pPr>
          </w:p>
        </w:tc>
        <w:tc>
          <w:tcPr>
            <w:tcW w:w="891" w:type="pct"/>
            <w:gridSpan w:val="5"/>
            <w:shd w:val="clear" w:color="auto" w:fill="auto"/>
            <w:vAlign w:val="center"/>
          </w:tcPr>
          <w:p>
            <w:pPr>
              <w:pStyle w:val="182"/>
            </w:pPr>
            <w:r>
              <w:rPr>
                <w:rFonts w:hint="eastAsia"/>
              </w:rPr>
              <w:t>背面崩边</w:t>
            </w:r>
          </w:p>
        </w:tc>
        <w:tc>
          <w:tcPr>
            <w:tcW w:w="1991" w:type="pct"/>
            <w:shd w:val="clear" w:color="auto" w:fill="auto"/>
            <w:vAlign w:val="center"/>
          </w:tcPr>
          <w:p>
            <w:pPr>
              <w:pStyle w:val="182"/>
            </w:pPr>
            <w:r>
              <w:rPr>
                <w:rFonts w:hint="eastAsia"/>
              </w:rPr>
              <w:t>单个≤（</w:t>
            </w:r>
            <w:r>
              <w:t>2</w:t>
            </w:r>
            <w:r>
              <w:rPr>
                <w:rFonts w:hint="eastAsia"/>
              </w:rPr>
              <w:t>×</w:t>
            </w:r>
            <w:r>
              <w:t>1</w:t>
            </w:r>
            <w:r>
              <w:rPr>
                <w:rFonts w:hint="eastAsia"/>
              </w:rPr>
              <w:t>）</w:t>
            </w:r>
            <w:r>
              <w:t xml:space="preserve"> mm²</w:t>
            </w:r>
            <w:r>
              <w:rPr>
                <w:rFonts w:hint="eastAsia"/>
              </w:rPr>
              <w:t>，个数≤</w:t>
            </w:r>
            <w:r>
              <w:t>4个；</w:t>
            </w:r>
          </w:p>
          <w:p>
            <w:pPr>
              <w:pStyle w:val="182"/>
            </w:pPr>
            <w:r>
              <w:rPr>
                <w:rFonts w:hint="eastAsia"/>
              </w:rPr>
              <w:t>面积≤</w:t>
            </w:r>
            <w:r>
              <w:t>0.1 mm</w:t>
            </w:r>
            <w:r>
              <w:rPr>
                <w:vertAlign w:val="superscript"/>
              </w:rPr>
              <w:t>2</w:t>
            </w:r>
            <w:r>
              <w:rPr>
                <w:rFonts w:hint="eastAsia"/>
              </w:rPr>
              <w:t>，个数≤</w:t>
            </w:r>
            <w:r>
              <w:t>5个；</w:t>
            </w:r>
            <w:r>
              <w:br w:type="textWrapping"/>
            </w:r>
            <w:r>
              <w:rPr>
                <w:rFonts w:hint="eastAsia"/>
              </w:rPr>
              <w:t>崩边距主栅距离＞</w:t>
            </w:r>
            <w:r>
              <w:t>5mm。</w:t>
            </w:r>
          </w:p>
        </w:tc>
        <w:tc>
          <w:tcPr>
            <w:tcW w:w="1665" w:type="pct"/>
            <w:vAlign w:val="center"/>
          </w:tcPr>
          <w:p>
            <w:pPr>
              <w:pStyle w:val="182"/>
            </w:pPr>
            <w:r>
              <w:drawing>
                <wp:inline distT="0" distB="0" distL="0" distR="0">
                  <wp:extent cx="1014095" cy="6540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2"/>
                          <a:stretch>
                            <a:fillRect/>
                          </a:stretch>
                        </pic:blipFill>
                        <pic:spPr>
                          <a:xfrm>
                            <a:off x="0" y="0"/>
                            <a:ext cx="1050351" cy="677242"/>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53" w:type="pct"/>
            <w:vMerge w:val="continue"/>
            <w:shd w:val="clear" w:color="auto" w:fill="auto"/>
            <w:vAlign w:val="center"/>
          </w:tcPr>
          <w:p>
            <w:pPr>
              <w:pStyle w:val="182"/>
            </w:pPr>
          </w:p>
        </w:tc>
        <w:tc>
          <w:tcPr>
            <w:tcW w:w="891" w:type="pct"/>
            <w:gridSpan w:val="5"/>
            <w:shd w:val="clear" w:color="auto" w:fill="auto"/>
            <w:vAlign w:val="center"/>
          </w:tcPr>
          <w:p>
            <w:pPr>
              <w:pStyle w:val="182"/>
            </w:pPr>
            <w:r>
              <w:rPr>
                <w:rFonts w:hint="eastAsia"/>
              </w:rPr>
              <w:t>线痕及亮线</w:t>
            </w:r>
          </w:p>
        </w:tc>
        <w:tc>
          <w:tcPr>
            <w:tcW w:w="1991" w:type="pct"/>
            <w:shd w:val="clear" w:color="auto" w:fill="auto"/>
            <w:vAlign w:val="center"/>
          </w:tcPr>
          <w:p>
            <w:pPr>
              <w:pStyle w:val="182"/>
            </w:pPr>
            <w:r>
              <w:rPr>
                <w:rFonts w:hint="eastAsia"/>
              </w:rPr>
              <w:t>目视不明显，手触无突起感，距离</w:t>
            </w:r>
            <w:r>
              <w:t>50 cm目视不明显</w:t>
            </w:r>
          </w:p>
        </w:tc>
        <w:tc>
          <w:tcPr>
            <w:tcW w:w="1665" w:type="pct"/>
            <w:vAlign w:val="center"/>
          </w:tcPr>
          <w:p>
            <w:pPr>
              <w:pStyle w:val="182"/>
            </w:pPr>
            <w:r>
              <w:drawing>
                <wp:inline distT="0" distB="0" distL="0" distR="0">
                  <wp:extent cx="993140" cy="787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3"/>
                          <a:stretch>
                            <a:fillRect/>
                          </a:stretch>
                        </pic:blipFill>
                        <pic:spPr>
                          <a:xfrm>
                            <a:off x="0" y="0"/>
                            <a:ext cx="1014563" cy="8045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53" w:type="pct"/>
            <w:vMerge w:val="continue"/>
            <w:shd w:val="clear" w:color="auto" w:fill="auto"/>
            <w:vAlign w:val="center"/>
          </w:tcPr>
          <w:p>
            <w:pPr>
              <w:pStyle w:val="182"/>
            </w:pPr>
          </w:p>
        </w:tc>
        <w:tc>
          <w:tcPr>
            <w:tcW w:w="891" w:type="pct"/>
            <w:gridSpan w:val="5"/>
            <w:shd w:val="clear" w:color="auto" w:fill="auto"/>
            <w:vAlign w:val="center"/>
          </w:tcPr>
          <w:p>
            <w:pPr>
              <w:pStyle w:val="182"/>
            </w:pPr>
            <w:r>
              <w:rPr>
                <w:rFonts w:hint="eastAsia"/>
              </w:rPr>
              <w:t>色差</w:t>
            </w:r>
          </w:p>
        </w:tc>
        <w:tc>
          <w:tcPr>
            <w:tcW w:w="1991" w:type="pct"/>
            <w:shd w:val="clear" w:color="auto" w:fill="auto"/>
            <w:vAlign w:val="center"/>
          </w:tcPr>
          <w:p>
            <w:pPr>
              <w:pStyle w:val="182"/>
            </w:pPr>
            <w:r>
              <w:rPr>
                <w:rFonts w:hint="eastAsia"/>
              </w:rPr>
              <w:t>片内颜色均匀且不允许跳色，允许正面边缘</w:t>
            </w:r>
            <w:r>
              <w:t>5 mm以内绕镀引起的渐变色差</w:t>
            </w:r>
          </w:p>
        </w:tc>
        <w:tc>
          <w:tcPr>
            <w:tcW w:w="1665" w:type="pct"/>
            <w:vAlign w:val="center"/>
          </w:tcPr>
          <w:p>
            <w:pPr>
              <w:pStyle w:val="182"/>
            </w:pPr>
            <w:r>
              <w:rPr>
                <w:rFonts w:hint="eastAsia"/>
              </w:rPr>
              <w:drawing>
                <wp:inline distT="0" distB="0" distL="0" distR="0">
                  <wp:extent cx="1007745" cy="692150"/>
                  <wp:effectExtent l="0" t="0" r="190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025622" cy="704524"/>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53" w:type="pct"/>
            <w:vMerge w:val="continue"/>
            <w:shd w:val="clear" w:color="auto" w:fill="auto"/>
            <w:vAlign w:val="center"/>
          </w:tcPr>
          <w:p>
            <w:pPr>
              <w:pStyle w:val="182"/>
            </w:pPr>
          </w:p>
        </w:tc>
        <w:tc>
          <w:tcPr>
            <w:tcW w:w="891" w:type="pct"/>
            <w:gridSpan w:val="5"/>
            <w:shd w:val="clear" w:color="auto" w:fill="auto"/>
            <w:vAlign w:val="center"/>
          </w:tcPr>
          <w:p>
            <w:pPr>
              <w:pStyle w:val="182"/>
              <w:rPr>
                <w:highlight w:val="yellow"/>
              </w:rPr>
            </w:pPr>
            <w:r>
              <w:rPr>
                <w:rFonts w:hint="eastAsia"/>
              </w:rPr>
              <w:t>色斑</w:t>
            </w:r>
            <w:r>
              <w:t>/亮斑</w:t>
            </w:r>
          </w:p>
        </w:tc>
        <w:tc>
          <w:tcPr>
            <w:tcW w:w="1991" w:type="pct"/>
            <w:shd w:val="clear" w:color="auto" w:fill="auto"/>
            <w:vAlign w:val="center"/>
          </w:tcPr>
          <w:p>
            <w:pPr>
              <w:pStyle w:val="182"/>
            </w:pPr>
            <w:r>
              <w:rPr>
                <w:rFonts w:hint="eastAsia"/>
              </w:rPr>
              <w:t>直径≤</w:t>
            </w:r>
            <w:r>
              <w:t xml:space="preserve">0.8 mm，个数≤4 </w:t>
            </w:r>
            <w:r>
              <w:rPr>
                <w:rFonts w:hint="eastAsia"/>
              </w:rPr>
              <w:t>个，单包缺陷片数不限</w:t>
            </w:r>
            <w:r>
              <w:t>;</w:t>
            </w:r>
          </w:p>
          <w:p>
            <w:pPr>
              <w:pStyle w:val="182"/>
            </w:pPr>
            <w:r>
              <w:t>0.8 mm</w:t>
            </w:r>
            <w:r>
              <w:rPr>
                <w:rFonts w:hint="eastAsia"/>
              </w:rPr>
              <w:t>＜</w:t>
            </w:r>
            <w:r>
              <w:t>单个直径≤1.2 mm</w:t>
            </w:r>
            <w:r>
              <w:rPr>
                <w:rFonts w:hint="eastAsia"/>
              </w:rPr>
              <w:t>，个数≤</w:t>
            </w:r>
            <w:r>
              <w:t>4个，单包缺陷（单片标准内）比例≤3 %；</w:t>
            </w:r>
          </w:p>
          <w:p>
            <w:pPr>
              <w:pStyle w:val="182"/>
            </w:pPr>
            <w:r>
              <w:rPr>
                <w:rFonts w:hint="eastAsia"/>
              </w:rPr>
              <w:t>单个直径＞</w:t>
            </w:r>
            <w:r>
              <w:t>1.2 mm，不允许</w:t>
            </w:r>
            <w:r>
              <w:rPr>
                <w:rFonts w:hint="eastAsia"/>
              </w:rPr>
              <w:t>。</w:t>
            </w:r>
          </w:p>
        </w:tc>
        <w:tc>
          <w:tcPr>
            <w:tcW w:w="1665" w:type="pct"/>
            <w:vAlign w:val="center"/>
          </w:tcPr>
          <w:p>
            <w:pPr>
              <w:pStyle w:val="182"/>
            </w:pPr>
            <w:r>
              <w:rPr>
                <w:rFonts w:hint="eastAsia" w:hAnsi="宋体" w:cs="宋体"/>
                <w:sz w:val="20"/>
              </w:rPr>
              <w:drawing>
                <wp:inline distT="0" distB="0" distL="0" distR="0">
                  <wp:extent cx="998855" cy="6762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5">
                            <a:extLst>
                              <a:ext uri="{28A0092B-C50C-407E-A947-70E740481C1C}">
                                <a14:useLocalDpi xmlns:a14="http://schemas.microsoft.com/office/drawing/2010/main" val="0"/>
                              </a:ext>
                            </a:extLst>
                          </a:blip>
                          <a:srcRect l="31875" t="23480" r="19583" b="16177"/>
                          <a:stretch>
                            <a:fillRect/>
                          </a:stretch>
                        </pic:blipFill>
                        <pic:spPr>
                          <a:xfrm>
                            <a:off x="0" y="0"/>
                            <a:ext cx="1012730" cy="6858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53" w:type="pct"/>
            <w:vMerge w:val="continue"/>
            <w:shd w:val="clear" w:color="auto" w:fill="auto"/>
            <w:vAlign w:val="center"/>
          </w:tcPr>
          <w:p>
            <w:pPr>
              <w:pStyle w:val="182"/>
            </w:pPr>
          </w:p>
        </w:tc>
        <w:tc>
          <w:tcPr>
            <w:tcW w:w="891" w:type="pct"/>
            <w:gridSpan w:val="5"/>
            <w:shd w:val="clear" w:color="auto" w:fill="auto"/>
            <w:vAlign w:val="center"/>
          </w:tcPr>
          <w:p>
            <w:pPr>
              <w:pStyle w:val="182"/>
            </w:pPr>
            <w:r>
              <w:rPr>
                <w:rFonts w:hint="eastAsia"/>
              </w:rPr>
              <w:t>背面膜色</w:t>
            </w:r>
          </w:p>
        </w:tc>
        <w:tc>
          <w:tcPr>
            <w:tcW w:w="1991" w:type="pct"/>
            <w:shd w:val="clear" w:color="auto" w:fill="auto"/>
            <w:vAlign w:val="center"/>
          </w:tcPr>
          <w:p>
            <w:pPr>
              <w:pStyle w:val="182"/>
            </w:pPr>
            <w:r>
              <w:rPr>
                <w:rFonts w:hint="eastAsia"/>
              </w:rPr>
              <w:t>背面膜色不分色，单片电池片内背面整体目视呈蓝色系，允许距硅片边缘</w:t>
            </w:r>
            <w:r>
              <w:t>1 mm内存在绕镀导致的非蓝色系</w:t>
            </w:r>
          </w:p>
        </w:tc>
        <w:tc>
          <w:tcPr>
            <w:tcW w:w="1665" w:type="pct"/>
            <w:vAlign w:val="center"/>
          </w:tcPr>
          <w:p>
            <w:pPr>
              <w:pStyle w:val="182"/>
            </w:pPr>
            <w:r>
              <w:rPr>
                <w:rFonts w:hint="eastAsia"/>
              </w:rPr>
              <w:drawing>
                <wp:inline distT="0" distB="0" distL="0" distR="0">
                  <wp:extent cx="976630" cy="5715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994755" cy="581965"/>
                          </a:xfrm>
                          <a:prstGeom prst="rect">
                            <a:avLst/>
                          </a:prstGeom>
                          <a:noFill/>
                          <a:ln>
                            <a:noFill/>
                          </a:ln>
                        </pic:spPr>
                      </pic:pic>
                    </a:graphicData>
                  </a:graphic>
                </wp:inline>
              </w:drawing>
            </w:r>
          </w:p>
        </w:tc>
      </w:tr>
      <w:bookmarkEnd w:id="132"/>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53" w:type="pct"/>
            <w:vMerge w:val="restart"/>
            <w:shd w:val="clear" w:color="auto" w:fill="auto"/>
            <w:vAlign w:val="center"/>
          </w:tcPr>
          <w:p>
            <w:pPr>
              <w:pStyle w:val="182"/>
              <w:rPr>
                <w:szCs w:val="18"/>
              </w:rPr>
            </w:pPr>
            <w:r>
              <w:rPr>
                <w:rFonts w:hint="eastAsia" w:hAnsi="宋体" w:cs="宋体"/>
                <w:szCs w:val="18"/>
              </w:rPr>
              <w:t>正表面质量</w:t>
            </w:r>
          </w:p>
        </w:tc>
        <w:tc>
          <w:tcPr>
            <w:tcW w:w="170" w:type="pct"/>
            <w:gridSpan w:val="2"/>
            <w:vMerge w:val="restart"/>
            <w:shd w:val="clear" w:color="auto" w:fill="auto"/>
            <w:vAlign w:val="center"/>
          </w:tcPr>
          <w:p>
            <w:pPr>
              <w:pStyle w:val="182"/>
            </w:pPr>
            <w:r>
              <w:rPr>
                <w:rFonts w:hint="eastAsia"/>
              </w:rPr>
              <w:t>脏污</w:t>
            </w:r>
            <w:r>
              <w:t>/手指印</w:t>
            </w:r>
          </w:p>
        </w:tc>
        <w:tc>
          <w:tcPr>
            <w:tcW w:w="721" w:type="pct"/>
            <w:gridSpan w:val="3"/>
            <w:vAlign w:val="center"/>
          </w:tcPr>
          <w:p>
            <w:pPr>
              <w:pStyle w:val="182"/>
            </w:pPr>
            <w:r>
              <w:rPr>
                <w:rFonts w:hint="eastAsia"/>
              </w:rPr>
              <w:t>手指印</w:t>
            </w:r>
          </w:p>
        </w:tc>
        <w:tc>
          <w:tcPr>
            <w:tcW w:w="1991" w:type="pct"/>
            <w:shd w:val="clear" w:color="auto" w:fill="auto"/>
            <w:vAlign w:val="center"/>
          </w:tcPr>
          <w:p>
            <w:pPr>
              <w:pStyle w:val="182"/>
            </w:pPr>
            <w:r>
              <w:rPr>
                <w:rFonts w:hint="eastAsia"/>
              </w:rPr>
              <w:t>不允许</w:t>
            </w:r>
          </w:p>
        </w:tc>
        <w:tc>
          <w:tcPr>
            <w:tcW w:w="1665" w:type="pct"/>
            <w:vAlign w:val="center"/>
          </w:tcPr>
          <w:p>
            <w:pPr>
              <w:pStyle w:val="182"/>
            </w:pPr>
            <w:r>
              <w:drawing>
                <wp:inline distT="0" distB="0" distL="0" distR="0">
                  <wp:extent cx="929640" cy="713105"/>
                  <wp:effectExtent l="0" t="0" r="381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7"/>
                          <a:stretch>
                            <a:fillRect/>
                          </a:stretch>
                        </pic:blipFill>
                        <pic:spPr>
                          <a:xfrm>
                            <a:off x="0" y="0"/>
                            <a:ext cx="962179" cy="73846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53" w:type="pct"/>
            <w:vMerge w:val="continue"/>
            <w:shd w:val="clear" w:color="auto" w:fill="auto"/>
            <w:vAlign w:val="center"/>
          </w:tcPr>
          <w:p>
            <w:pPr>
              <w:pStyle w:val="182"/>
              <w:rPr>
                <w:szCs w:val="18"/>
              </w:rPr>
            </w:pPr>
          </w:p>
        </w:tc>
        <w:tc>
          <w:tcPr>
            <w:tcW w:w="170" w:type="pct"/>
            <w:gridSpan w:val="2"/>
            <w:vMerge w:val="continue"/>
            <w:shd w:val="clear" w:color="auto" w:fill="auto"/>
            <w:vAlign w:val="center"/>
          </w:tcPr>
          <w:p>
            <w:pPr>
              <w:pStyle w:val="182"/>
            </w:pPr>
          </w:p>
        </w:tc>
        <w:tc>
          <w:tcPr>
            <w:tcW w:w="721" w:type="pct"/>
            <w:gridSpan w:val="3"/>
            <w:vAlign w:val="center"/>
          </w:tcPr>
          <w:p>
            <w:pPr>
              <w:pStyle w:val="182"/>
            </w:pPr>
            <w:r>
              <w:rPr>
                <w:rFonts w:hint="eastAsia"/>
              </w:rPr>
              <w:t>脏污</w:t>
            </w:r>
          </w:p>
        </w:tc>
        <w:tc>
          <w:tcPr>
            <w:tcW w:w="1991" w:type="pct"/>
            <w:shd w:val="clear" w:color="auto" w:fill="auto"/>
            <w:vAlign w:val="center"/>
          </w:tcPr>
          <w:p>
            <w:pPr>
              <w:pStyle w:val="182"/>
            </w:pPr>
            <w:r>
              <w:rPr>
                <w:rFonts w:hint="eastAsia"/>
              </w:rPr>
              <w:t>单个≤0.3 mm²，个数≤</w:t>
            </w:r>
            <w:r>
              <w:t>2</w:t>
            </w:r>
            <w:r>
              <w:rPr>
                <w:rFonts w:hint="eastAsia"/>
              </w:rPr>
              <w:t>个，单包缺陷片数不计；</w:t>
            </w:r>
          </w:p>
          <w:p>
            <w:pPr>
              <w:pStyle w:val="182"/>
            </w:pPr>
            <w:r>
              <w:rPr>
                <w:rFonts w:hint="eastAsia"/>
              </w:rPr>
              <w:t>0.3 mm²＜单个≤4</w:t>
            </w:r>
            <w:r>
              <w:t xml:space="preserve"> </w:t>
            </w:r>
            <w:r>
              <w:rPr>
                <w:rFonts w:hint="eastAsia"/>
              </w:rPr>
              <w:t>mm²，个数≤</w:t>
            </w:r>
            <w:r>
              <w:t>2</w:t>
            </w:r>
            <w:r>
              <w:rPr>
                <w:rFonts w:hint="eastAsia"/>
              </w:rPr>
              <w:t>个，单包缺陷（单片标准内）比例≤4</w:t>
            </w:r>
            <w:r>
              <w:t xml:space="preserve"> </w:t>
            </w:r>
            <w:r>
              <w:rPr>
                <w:rFonts w:hint="eastAsia"/>
              </w:rPr>
              <w:t>%；</w:t>
            </w:r>
          </w:p>
          <w:p>
            <w:pPr>
              <w:pStyle w:val="182"/>
            </w:pPr>
            <w:r>
              <w:rPr>
                <w:rFonts w:hint="eastAsia"/>
              </w:rPr>
              <w:t>单个＞4</w:t>
            </w:r>
            <w:r>
              <w:t xml:space="preserve"> </w:t>
            </w:r>
            <w:r>
              <w:rPr>
                <w:rFonts w:hint="eastAsia"/>
              </w:rPr>
              <w:t>mm²，不允许。</w:t>
            </w:r>
          </w:p>
        </w:tc>
        <w:tc>
          <w:tcPr>
            <w:tcW w:w="1665" w:type="pct"/>
            <w:vAlign w:val="center"/>
          </w:tcPr>
          <w:p>
            <w:pPr>
              <w:pStyle w:val="182"/>
            </w:pPr>
            <w:r>
              <w:drawing>
                <wp:inline distT="0" distB="0" distL="0" distR="0">
                  <wp:extent cx="971550" cy="793750"/>
                  <wp:effectExtent l="0" t="0" r="0" b="6350"/>
                  <wp:docPr id="2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1"/>
                          <pic:cNvPicPr>
                            <a:picLocks noChangeAspect="1"/>
                          </pic:cNvPicPr>
                        </pic:nvPicPr>
                        <pic:blipFill>
                          <a:blip r:embed="rId28"/>
                          <a:srcRect l="30256" t="28822" r="22200" b="9860"/>
                          <a:stretch>
                            <a:fillRect/>
                          </a:stretch>
                        </pic:blipFill>
                        <pic:spPr>
                          <a:xfrm>
                            <a:off x="0" y="0"/>
                            <a:ext cx="989968" cy="808271"/>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891" w:type="pct"/>
            <w:gridSpan w:val="5"/>
            <w:vAlign w:val="center"/>
          </w:tcPr>
          <w:p>
            <w:pPr>
              <w:pStyle w:val="60"/>
              <w:ind w:firstLine="0" w:firstLineChars="0"/>
              <w:jc w:val="center"/>
              <w:rPr>
                <w:rFonts w:hAnsi="宋体"/>
                <w:sz w:val="18"/>
                <w:szCs w:val="18"/>
              </w:rPr>
            </w:pPr>
            <w:r>
              <w:rPr>
                <w:rFonts w:hint="eastAsia" w:hAnsi="宋体"/>
                <w:sz w:val="18"/>
                <w:szCs w:val="18"/>
              </w:rPr>
              <w:t>划痕</w:t>
            </w:r>
          </w:p>
        </w:tc>
        <w:tc>
          <w:tcPr>
            <w:tcW w:w="1991" w:type="pct"/>
            <w:vAlign w:val="center"/>
          </w:tcPr>
          <w:p>
            <w:pPr>
              <w:pStyle w:val="182"/>
              <w:rPr>
                <w:rFonts w:hAnsi="宋体"/>
                <w:szCs w:val="18"/>
              </w:rPr>
            </w:pPr>
            <w:r>
              <w:rPr>
                <w:rFonts w:hint="eastAsia" w:hAnsi="宋体"/>
                <w:szCs w:val="18"/>
              </w:rPr>
              <w:t>划伤硅基材不允许；</w:t>
            </w:r>
          </w:p>
          <w:p>
            <w:pPr>
              <w:pStyle w:val="60"/>
              <w:ind w:firstLine="0" w:firstLineChars="0"/>
              <w:jc w:val="center"/>
              <w:rPr>
                <w:rFonts w:hAnsi="宋体"/>
                <w:sz w:val="18"/>
                <w:szCs w:val="18"/>
              </w:rPr>
            </w:pPr>
            <w:r>
              <w:rPr>
                <w:rFonts w:hint="eastAsia" w:hAnsi="宋体"/>
                <w:sz w:val="18"/>
                <w:szCs w:val="18"/>
              </w:rPr>
              <w:t>轻微划伤长度≤</w:t>
            </w:r>
            <w:r>
              <w:rPr>
                <w:rFonts w:hAnsi="宋体"/>
                <w:sz w:val="18"/>
                <w:szCs w:val="18"/>
              </w:rPr>
              <w:t xml:space="preserve">10 </w:t>
            </w:r>
            <w:r>
              <w:rPr>
                <w:rFonts w:hint="eastAsia" w:hAnsi="宋体"/>
                <w:sz w:val="18"/>
                <w:szCs w:val="18"/>
              </w:rPr>
              <w:t>mm，宽度≤</w:t>
            </w:r>
            <w:r>
              <w:rPr>
                <w:rFonts w:hAnsi="宋体"/>
                <w:sz w:val="18"/>
                <w:szCs w:val="18"/>
              </w:rPr>
              <w:t>1 mm</w:t>
            </w:r>
            <w:r>
              <w:rPr>
                <w:rFonts w:hint="eastAsia" w:hAnsi="宋体"/>
                <w:sz w:val="18"/>
                <w:szCs w:val="18"/>
              </w:rPr>
              <w:t>的经微划痕，个数≤4处。</w:t>
            </w:r>
          </w:p>
        </w:tc>
        <w:tc>
          <w:tcPr>
            <w:tcW w:w="1665" w:type="pct"/>
            <w:vAlign w:val="center"/>
          </w:tcPr>
          <w:p>
            <w:pPr>
              <w:pStyle w:val="60"/>
              <w:ind w:firstLine="0" w:firstLineChars="0"/>
              <w:jc w:val="center"/>
              <w:rPr>
                <w:rFonts w:hAnsi="宋体"/>
                <w:sz w:val="18"/>
                <w:szCs w:val="18"/>
              </w:rPr>
            </w:pPr>
            <w:r>
              <w:rPr>
                <w:rFonts w:hAnsi="宋体"/>
                <w:sz w:val="18"/>
                <w:szCs w:val="18"/>
              </w:rPr>
              <w:drawing>
                <wp:inline distT="0" distB="0" distL="0" distR="0">
                  <wp:extent cx="1030605" cy="749935"/>
                  <wp:effectExtent l="0" t="0" r="0" b="0"/>
                  <wp:docPr id="9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7"/>
                          <pic:cNvPicPr>
                            <a:picLocks noChangeAspect="1"/>
                          </pic:cNvPicPr>
                        </pic:nvPicPr>
                        <pic:blipFill>
                          <a:blip r:embed="rId29"/>
                          <a:srcRect l="39099" t="22698" r="4153" b="6049"/>
                          <a:stretch>
                            <a:fillRect/>
                          </a:stretch>
                        </pic:blipFill>
                        <pic:spPr>
                          <a:xfrm>
                            <a:off x="0" y="0"/>
                            <a:ext cx="1045143" cy="76054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891" w:type="pct"/>
            <w:gridSpan w:val="5"/>
            <w:vAlign w:val="center"/>
          </w:tcPr>
          <w:p>
            <w:pPr>
              <w:pStyle w:val="60"/>
              <w:ind w:firstLine="0" w:firstLineChars="0"/>
              <w:jc w:val="center"/>
              <w:rPr>
                <w:rFonts w:hAnsi="宋体"/>
                <w:sz w:val="18"/>
                <w:szCs w:val="18"/>
              </w:rPr>
            </w:pPr>
            <w:r>
              <w:rPr>
                <w:rFonts w:hint="eastAsia" w:hAnsi="宋体"/>
                <w:sz w:val="18"/>
                <w:szCs w:val="18"/>
              </w:rPr>
              <w:t>水痕印</w:t>
            </w:r>
          </w:p>
        </w:tc>
        <w:tc>
          <w:tcPr>
            <w:tcW w:w="1991" w:type="pct"/>
            <w:vAlign w:val="center"/>
          </w:tcPr>
          <w:p>
            <w:pPr>
              <w:pStyle w:val="60"/>
              <w:ind w:firstLine="0" w:firstLineChars="0"/>
              <w:jc w:val="center"/>
              <w:rPr>
                <w:rFonts w:hAnsi="宋体"/>
                <w:sz w:val="18"/>
                <w:szCs w:val="18"/>
              </w:rPr>
            </w:pPr>
            <w:r>
              <w:rPr>
                <w:rFonts w:hint="eastAsia" w:hAnsi="宋体"/>
                <w:sz w:val="18"/>
                <w:szCs w:val="18"/>
              </w:rPr>
              <w:t>斜视观察，不允许大面积轻微水印；</w:t>
            </w:r>
            <w:r>
              <w:rPr>
                <w:rFonts w:hAnsi="宋体"/>
                <w:sz w:val="18"/>
                <w:szCs w:val="18"/>
              </w:rPr>
              <w:br w:type="textWrapping"/>
            </w:r>
            <w:r>
              <w:rPr>
                <w:rFonts w:hint="eastAsia" w:hAnsi="宋体"/>
                <w:sz w:val="18"/>
                <w:szCs w:val="18"/>
              </w:rPr>
              <w:t>正视观察，严重水印单个≤</w:t>
            </w:r>
            <w:r>
              <w:rPr>
                <w:rFonts w:hAnsi="宋体"/>
                <w:sz w:val="18"/>
                <w:szCs w:val="18"/>
              </w:rPr>
              <w:t>3 mm²</w:t>
            </w:r>
            <w:r>
              <w:rPr>
                <w:rFonts w:hint="eastAsia" w:hAnsi="宋体"/>
                <w:sz w:val="18"/>
                <w:szCs w:val="18"/>
              </w:rPr>
              <w:t>，个数≤2个</w:t>
            </w:r>
          </w:p>
        </w:tc>
        <w:tc>
          <w:tcPr>
            <w:tcW w:w="1665" w:type="pct"/>
            <w:vAlign w:val="center"/>
          </w:tcPr>
          <w:p>
            <w:pPr>
              <w:pStyle w:val="60"/>
              <w:ind w:firstLine="0" w:firstLineChars="0"/>
              <w:jc w:val="center"/>
              <w:rPr>
                <w:rFonts w:hAnsi="宋体"/>
                <w:sz w:val="18"/>
                <w:szCs w:val="18"/>
              </w:rPr>
            </w:pPr>
            <w:r>
              <w:rPr>
                <w:rFonts w:hAnsi="宋体"/>
                <w:sz w:val="18"/>
                <w:szCs w:val="18"/>
              </w:rPr>
              <w:drawing>
                <wp:inline distT="0" distB="0" distL="0" distR="0">
                  <wp:extent cx="1057275" cy="876935"/>
                  <wp:effectExtent l="0" t="0" r="0" b="0"/>
                  <wp:docPr id="95" name="图片 15" descr="c:\users\public\documents\kk6 files\longi easy\account\25036@kk.longi-silicon.com\image_cache\7285aa7722f043bf9d49da25699fb7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5" descr="c:\users\public\documents\kk6 files\longi easy\account\25036@kk.longi-silicon.com\image_cache\7285aa7722f043bf9d49da25699fb7e4.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089599" cy="904137"/>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891" w:type="pct"/>
            <w:gridSpan w:val="5"/>
            <w:vAlign w:val="center"/>
          </w:tcPr>
          <w:p>
            <w:pPr>
              <w:pStyle w:val="60"/>
              <w:ind w:firstLine="0" w:firstLineChars="0"/>
              <w:jc w:val="center"/>
              <w:rPr>
                <w:rFonts w:hAnsi="宋体"/>
                <w:sz w:val="18"/>
                <w:szCs w:val="18"/>
              </w:rPr>
            </w:pPr>
            <w:r>
              <w:rPr>
                <w:rFonts w:hint="eastAsia" w:hAnsi="宋体"/>
                <w:sz w:val="18"/>
                <w:szCs w:val="18"/>
              </w:rPr>
              <w:t>栅线及电极氧化</w:t>
            </w:r>
          </w:p>
        </w:tc>
        <w:tc>
          <w:tcPr>
            <w:tcW w:w="1991" w:type="pct"/>
            <w:vAlign w:val="center"/>
          </w:tcPr>
          <w:p>
            <w:pPr>
              <w:pStyle w:val="60"/>
              <w:ind w:firstLine="0" w:firstLineChars="0"/>
              <w:jc w:val="center"/>
              <w:rPr>
                <w:rFonts w:hAnsi="宋体"/>
                <w:sz w:val="18"/>
                <w:szCs w:val="18"/>
              </w:rPr>
            </w:pPr>
            <w:r>
              <w:rPr>
                <w:rFonts w:hint="eastAsia" w:hAnsi="宋体"/>
                <w:sz w:val="18"/>
                <w:szCs w:val="18"/>
              </w:rPr>
              <w:t>不允许</w:t>
            </w:r>
          </w:p>
        </w:tc>
        <w:tc>
          <w:tcPr>
            <w:tcW w:w="1665" w:type="pct"/>
            <w:vAlign w:val="center"/>
          </w:tcPr>
          <w:p>
            <w:pPr>
              <w:pStyle w:val="60"/>
              <w:ind w:firstLine="0" w:firstLineChars="0"/>
              <w:jc w:val="center"/>
              <w:rPr>
                <w:rFonts w:hAnsi="宋体"/>
                <w:sz w:val="18"/>
                <w:szCs w:val="18"/>
              </w:rPr>
            </w:pPr>
            <w:r>
              <w:rPr>
                <w:rFonts w:hAnsi="宋体"/>
                <w:sz w:val="18"/>
                <w:szCs w:val="18"/>
              </w:rPr>
              <w:drawing>
                <wp:inline distT="0" distB="0" distL="0" distR="0">
                  <wp:extent cx="1056640" cy="814705"/>
                  <wp:effectExtent l="0" t="0" r="0" b="4445"/>
                  <wp:docPr id="96" name="图片 10" descr="8cb9dae6c8b14decabcf93b5406415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0" descr="8cb9dae6c8b14decabcf93b5406415b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080509" cy="833229"/>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150" w:type="pct"/>
            <w:vMerge w:val="restart"/>
            <w:vAlign w:val="center"/>
          </w:tcPr>
          <w:p>
            <w:pPr>
              <w:pStyle w:val="60"/>
              <w:ind w:firstLine="0" w:firstLineChars="0"/>
              <w:jc w:val="center"/>
              <w:rPr>
                <w:rFonts w:hAnsi="宋体"/>
                <w:sz w:val="18"/>
                <w:szCs w:val="18"/>
              </w:rPr>
            </w:pPr>
            <w:r>
              <w:rPr>
                <w:rFonts w:hint="eastAsia" w:hAnsi="宋体"/>
                <w:sz w:val="18"/>
                <w:szCs w:val="18"/>
              </w:rPr>
              <w:t>漏浆</w:t>
            </w:r>
          </w:p>
        </w:tc>
        <w:tc>
          <w:tcPr>
            <w:tcW w:w="741" w:type="pct"/>
            <w:gridSpan w:val="4"/>
            <w:vAlign w:val="center"/>
          </w:tcPr>
          <w:p>
            <w:pPr>
              <w:pStyle w:val="60"/>
              <w:ind w:firstLine="0" w:firstLineChars="0"/>
              <w:jc w:val="center"/>
              <w:rPr>
                <w:rFonts w:hAnsi="宋体"/>
                <w:sz w:val="18"/>
                <w:szCs w:val="18"/>
              </w:rPr>
            </w:pPr>
            <w:r>
              <w:rPr>
                <w:rFonts w:hint="eastAsia" w:hAnsi="宋体"/>
                <w:sz w:val="18"/>
                <w:szCs w:val="18"/>
              </w:rPr>
              <w:t>边缘漏浆</w:t>
            </w:r>
          </w:p>
        </w:tc>
        <w:tc>
          <w:tcPr>
            <w:tcW w:w="1991" w:type="pct"/>
            <w:vAlign w:val="center"/>
          </w:tcPr>
          <w:p>
            <w:pPr>
              <w:pStyle w:val="60"/>
              <w:ind w:firstLine="0" w:firstLineChars="0"/>
              <w:jc w:val="center"/>
              <w:rPr>
                <w:rFonts w:hAnsi="宋体"/>
                <w:sz w:val="18"/>
                <w:szCs w:val="18"/>
              </w:rPr>
            </w:pPr>
            <w:r>
              <w:rPr>
                <w:rFonts w:hint="eastAsia" w:hAnsi="宋体"/>
                <w:sz w:val="18"/>
                <w:szCs w:val="18"/>
              </w:rPr>
              <w:t>不允许有漏浆及浆料污染</w:t>
            </w:r>
          </w:p>
        </w:tc>
        <w:tc>
          <w:tcPr>
            <w:tcW w:w="1665" w:type="pct"/>
            <w:vAlign w:val="center"/>
          </w:tcPr>
          <w:p>
            <w:pPr>
              <w:pStyle w:val="60"/>
              <w:ind w:firstLine="0" w:firstLineChars="0"/>
              <w:jc w:val="center"/>
              <w:rPr>
                <w:rFonts w:hAnsi="宋体"/>
                <w:sz w:val="18"/>
                <w:szCs w:val="18"/>
              </w:rPr>
            </w:pPr>
            <w:r>
              <w:rPr>
                <w:rFonts w:hAnsi="宋体"/>
                <w:sz w:val="18"/>
                <w:szCs w:val="18"/>
              </w:rPr>
              <w:drawing>
                <wp:inline distT="0" distB="0" distL="0" distR="0">
                  <wp:extent cx="1146810" cy="847725"/>
                  <wp:effectExtent l="0" t="0" r="0" b="9525"/>
                  <wp:docPr id="9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9"/>
                          <pic:cNvPicPr>
                            <a:picLocks noChangeAspect="1"/>
                          </pic:cNvPicPr>
                        </pic:nvPicPr>
                        <pic:blipFill>
                          <a:blip r:embed="rId32"/>
                          <a:srcRect r="29674" b="14881"/>
                          <a:stretch>
                            <a:fillRect/>
                          </a:stretch>
                        </pic:blipFill>
                        <pic:spPr>
                          <a:xfrm>
                            <a:off x="0" y="0"/>
                            <a:ext cx="1169648" cy="865118"/>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453" w:type="pct"/>
            <w:vMerge w:val="continue"/>
            <w:vAlign w:val="center"/>
          </w:tcPr>
          <w:p>
            <w:pPr>
              <w:pStyle w:val="60"/>
              <w:ind w:firstLine="0" w:firstLineChars="0"/>
              <w:jc w:val="center"/>
              <w:rPr>
                <w:rFonts w:hAnsi="宋体"/>
                <w:sz w:val="18"/>
                <w:szCs w:val="18"/>
              </w:rPr>
            </w:pPr>
          </w:p>
        </w:tc>
        <w:tc>
          <w:tcPr>
            <w:tcW w:w="150" w:type="pct"/>
            <w:vMerge w:val="continue"/>
            <w:vAlign w:val="center"/>
          </w:tcPr>
          <w:p>
            <w:pPr>
              <w:pStyle w:val="60"/>
              <w:ind w:firstLine="0" w:firstLineChars="0"/>
              <w:jc w:val="center"/>
              <w:rPr>
                <w:rFonts w:hAnsi="宋体"/>
                <w:sz w:val="18"/>
                <w:szCs w:val="18"/>
              </w:rPr>
            </w:pPr>
          </w:p>
        </w:tc>
        <w:tc>
          <w:tcPr>
            <w:tcW w:w="330" w:type="pct"/>
            <w:gridSpan w:val="3"/>
            <w:vMerge w:val="restart"/>
            <w:vAlign w:val="center"/>
          </w:tcPr>
          <w:p>
            <w:pPr>
              <w:pStyle w:val="60"/>
              <w:ind w:firstLine="0" w:firstLineChars="0"/>
              <w:jc w:val="center"/>
              <w:rPr>
                <w:rFonts w:hAnsi="宋体"/>
                <w:sz w:val="18"/>
                <w:szCs w:val="18"/>
              </w:rPr>
            </w:pPr>
            <w:r>
              <w:rPr>
                <w:rFonts w:hint="eastAsia" w:hAnsi="宋体"/>
                <w:sz w:val="18"/>
                <w:szCs w:val="18"/>
              </w:rPr>
              <w:t>正面漏浆</w:t>
            </w:r>
          </w:p>
        </w:tc>
        <w:tc>
          <w:tcPr>
            <w:tcW w:w="411" w:type="pct"/>
            <w:vAlign w:val="center"/>
          </w:tcPr>
          <w:p>
            <w:pPr>
              <w:pStyle w:val="60"/>
              <w:ind w:firstLine="0" w:firstLineChars="0"/>
              <w:jc w:val="center"/>
              <w:rPr>
                <w:rFonts w:hAnsi="宋体"/>
                <w:sz w:val="18"/>
                <w:szCs w:val="18"/>
              </w:rPr>
            </w:pPr>
            <w:r>
              <w:rPr>
                <w:rFonts w:hint="eastAsia" w:hAnsi="宋体"/>
                <w:sz w:val="18"/>
                <w:szCs w:val="18"/>
              </w:rPr>
              <w:t>密集漏浆</w:t>
            </w:r>
          </w:p>
        </w:tc>
        <w:tc>
          <w:tcPr>
            <w:tcW w:w="1991" w:type="pct"/>
            <w:vAlign w:val="center"/>
          </w:tcPr>
          <w:p>
            <w:pPr>
              <w:pStyle w:val="182"/>
              <w:rPr>
                <w:rFonts w:hAnsi="宋体"/>
                <w:szCs w:val="18"/>
              </w:rPr>
            </w:pPr>
            <w:r>
              <w:rPr>
                <w:rFonts w:hint="eastAsia" w:hAnsi="宋体"/>
                <w:szCs w:val="18"/>
              </w:rPr>
              <w:t>单个面积≤0.03</w:t>
            </w:r>
            <w:r>
              <w:rPr>
                <w:rFonts w:hAnsi="宋体"/>
                <w:szCs w:val="18"/>
              </w:rPr>
              <w:t xml:space="preserve"> mm</w:t>
            </w:r>
            <w:r>
              <w:rPr>
                <w:rFonts w:hAnsi="宋体"/>
                <w:szCs w:val="18"/>
                <w:vertAlign w:val="superscript"/>
              </w:rPr>
              <w:t>2</w:t>
            </w:r>
            <w:r>
              <w:rPr>
                <w:rFonts w:hint="eastAsia" w:hAnsi="宋体"/>
                <w:szCs w:val="18"/>
              </w:rPr>
              <w:t xml:space="preserve"> ，个数不限；</w:t>
            </w:r>
          </w:p>
          <w:p>
            <w:pPr>
              <w:pStyle w:val="60"/>
              <w:ind w:firstLine="0" w:firstLineChars="0"/>
              <w:jc w:val="center"/>
              <w:rPr>
                <w:rFonts w:hAnsi="宋体"/>
                <w:sz w:val="18"/>
                <w:szCs w:val="18"/>
              </w:rPr>
            </w:pPr>
            <w:r>
              <w:rPr>
                <w:rFonts w:hAnsi="宋体"/>
                <w:sz w:val="18"/>
                <w:szCs w:val="18"/>
              </w:rPr>
              <w:t>0.03 mm</w:t>
            </w:r>
            <w:r>
              <w:rPr>
                <w:rFonts w:hAnsi="宋体"/>
                <w:sz w:val="18"/>
                <w:szCs w:val="18"/>
                <w:vertAlign w:val="superscript"/>
              </w:rPr>
              <w:t>2</w:t>
            </w:r>
            <w:r>
              <w:rPr>
                <w:rFonts w:hint="eastAsia" w:hAnsi="宋体"/>
                <w:sz w:val="18"/>
                <w:szCs w:val="18"/>
              </w:rPr>
              <w:t>&lt;单个面积≤0.25</w:t>
            </w:r>
            <w:r>
              <w:rPr>
                <w:rFonts w:hAnsi="宋体"/>
                <w:sz w:val="18"/>
                <w:szCs w:val="18"/>
              </w:rPr>
              <w:t xml:space="preserve"> mm</w:t>
            </w:r>
            <w:r>
              <w:rPr>
                <w:rFonts w:hAnsi="宋体"/>
                <w:sz w:val="18"/>
                <w:szCs w:val="18"/>
                <w:vertAlign w:val="superscript"/>
              </w:rPr>
              <w:t>2</w:t>
            </w:r>
            <w:r>
              <w:rPr>
                <w:rFonts w:hint="eastAsia" w:hAnsi="宋体"/>
                <w:sz w:val="18"/>
                <w:szCs w:val="18"/>
              </w:rPr>
              <w:t xml:space="preserve"> ，个数≤20个，30</w:t>
            </w:r>
            <w:r>
              <w:rPr>
                <w:rFonts w:hAnsi="宋体"/>
                <w:sz w:val="18"/>
                <w:szCs w:val="18"/>
              </w:rPr>
              <w:t xml:space="preserve"> </w:t>
            </w:r>
            <w:r>
              <w:rPr>
                <w:rFonts w:hint="eastAsia" w:hAnsi="宋体"/>
                <w:sz w:val="18"/>
                <w:szCs w:val="18"/>
              </w:rPr>
              <w:t>cm～50cm距离目视不明显。</w:t>
            </w:r>
          </w:p>
        </w:tc>
        <w:tc>
          <w:tcPr>
            <w:tcW w:w="1665" w:type="pct"/>
            <w:vMerge w:val="restart"/>
            <w:vAlign w:val="center"/>
          </w:tcPr>
          <w:p>
            <w:pPr>
              <w:pStyle w:val="60"/>
              <w:ind w:firstLine="0" w:firstLineChars="0"/>
              <w:jc w:val="center"/>
              <w:rPr>
                <w:rFonts w:hAnsi="宋体"/>
                <w:sz w:val="18"/>
                <w:szCs w:val="18"/>
              </w:rPr>
            </w:pPr>
            <w:r>
              <w:rPr>
                <w:rFonts w:hAnsi="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453" w:type="pct"/>
            <w:vMerge w:val="continue"/>
            <w:vAlign w:val="center"/>
          </w:tcPr>
          <w:p>
            <w:pPr>
              <w:pStyle w:val="60"/>
              <w:ind w:firstLine="0" w:firstLineChars="0"/>
              <w:jc w:val="center"/>
              <w:rPr>
                <w:rFonts w:hAnsi="宋体"/>
                <w:sz w:val="18"/>
                <w:szCs w:val="18"/>
              </w:rPr>
            </w:pPr>
          </w:p>
        </w:tc>
        <w:tc>
          <w:tcPr>
            <w:tcW w:w="150" w:type="pct"/>
            <w:vMerge w:val="continue"/>
            <w:vAlign w:val="center"/>
          </w:tcPr>
          <w:p>
            <w:pPr>
              <w:pStyle w:val="60"/>
              <w:ind w:firstLine="0" w:firstLineChars="0"/>
              <w:jc w:val="center"/>
              <w:rPr>
                <w:rFonts w:hAnsi="宋体"/>
                <w:sz w:val="18"/>
                <w:szCs w:val="18"/>
              </w:rPr>
            </w:pPr>
          </w:p>
        </w:tc>
        <w:tc>
          <w:tcPr>
            <w:tcW w:w="330" w:type="pct"/>
            <w:gridSpan w:val="3"/>
            <w:vMerge w:val="continue"/>
            <w:vAlign w:val="center"/>
          </w:tcPr>
          <w:p>
            <w:pPr>
              <w:pStyle w:val="60"/>
              <w:ind w:firstLine="0" w:firstLineChars="0"/>
              <w:jc w:val="center"/>
              <w:rPr>
                <w:rFonts w:hAnsi="宋体"/>
                <w:sz w:val="18"/>
                <w:szCs w:val="18"/>
              </w:rPr>
            </w:pPr>
          </w:p>
        </w:tc>
        <w:tc>
          <w:tcPr>
            <w:tcW w:w="411" w:type="pct"/>
            <w:vAlign w:val="center"/>
          </w:tcPr>
          <w:p>
            <w:pPr>
              <w:pStyle w:val="60"/>
              <w:ind w:firstLine="0" w:firstLineChars="0"/>
              <w:jc w:val="center"/>
              <w:rPr>
                <w:rFonts w:hAnsi="宋体"/>
                <w:sz w:val="18"/>
                <w:szCs w:val="18"/>
              </w:rPr>
            </w:pPr>
            <w:r>
              <w:rPr>
                <w:rFonts w:hint="eastAsia" w:hAnsi="宋体"/>
                <w:sz w:val="18"/>
                <w:szCs w:val="18"/>
              </w:rPr>
              <w:t>单点漏浆</w:t>
            </w:r>
          </w:p>
        </w:tc>
        <w:tc>
          <w:tcPr>
            <w:tcW w:w="1991" w:type="pct"/>
            <w:vAlign w:val="center"/>
          </w:tcPr>
          <w:p>
            <w:pPr>
              <w:pStyle w:val="60"/>
              <w:ind w:firstLine="0" w:firstLineChars="0"/>
              <w:jc w:val="center"/>
              <w:rPr>
                <w:rFonts w:hAnsi="宋体"/>
                <w:sz w:val="18"/>
                <w:szCs w:val="18"/>
              </w:rPr>
            </w:pPr>
            <w:r>
              <w:rPr>
                <w:rFonts w:hint="eastAsia" w:hAnsi="宋体"/>
                <w:sz w:val="18"/>
                <w:szCs w:val="18"/>
              </w:rPr>
              <w:t>面积≤0.5</w:t>
            </w:r>
            <w:r>
              <w:rPr>
                <w:rFonts w:hAnsi="宋体"/>
                <w:sz w:val="18"/>
                <w:szCs w:val="18"/>
              </w:rPr>
              <w:t xml:space="preserve"> </w:t>
            </w:r>
            <w:r>
              <w:rPr>
                <w:rFonts w:hint="eastAsia" w:hAnsi="宋体"/>
                <w:sz w:val="18"/>
                <w:szCs w:val="18"/>
              </w:rPr>
              <w:t>mm²，数量≤</w:t>
            </w:r>
            <w:r>
              <w:rPr>
                <w:rFonts w:hAnsi="宋体"/>
                <w:sz w:val="18"/>
                <w:szCs w:val="18"/>
              </w:rPr>
              <w:t>4</w:t>
            </w:r>
            <w:r>
              <w:rPr>
                <w:rFonts w:hint="eastAsia" w:hAnsi="宋体"/>
                <w:sz w:val="18"/>
                <w:szCs w:val="18"/>
              </w:rPr>
              <w:t>个</w:t>
            </w:r>
          </w:p>
        </w:tc>
        <w:tc>
          <w:tcPr>
            <w:tcW w:w="1665" w:type="pct"/>
            <w:vMerge w:val="continue"/>
            <w:vAlign w:val="center"/>
          </w:tcPr>
          <w:p>
            <w:pPr>
              <w:pStyle w:val="60"/>
              <w:ind w:firstLine="0" w:firstLineChars="0"/>
              <w:jc w:val="center"/>
              <w:rPr>
                <w:rFonts w:hAnsi="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891" w:type="pct"/>
            <w:gridSpan w:val="5"/>
            <w:vAlign w:val="center"/>
          </w:tcPr>
          <w:p>
            <w:pPr>
              <w:pStyle w:val="60"/>
              <w:ind w:firstLine="0" w:firstLineChars="0"/>
              <w:jc w:val="center"/>
              <w:rPr>
                <w:rFonts w:hAnsi="宋体"/>
                <w:sz w:val="18"/>
                <w:szCs w:val="18"/>
              </w:rPr>
            </w:pPr>
            <w:r>
              <w:rPr>
                <w:rFonts w:hint="eastAsia" w:hAnsi="宋体"/>
                <w:sz w:val="18"/>
                <w:szCs w:val="18"/>
              </w:rPr>
              <w:t>主栅缺损</w:t>
            </w:r>
          </w:p>
        </w:tc>
        <w:tc>
          <w:tcPr>
            <w:tcW w:w="1991" w:type="pct"/>
            <w:vAlign w:val="center"/>
          </w:tcPr>
          <w:p>
            <w:pPr>
              <w:pStyle w:val="60"/>
              <w:ind w:firstLine="0" w:firstLineChars="0"/>
              <w:jc w:val="center"/>
              <w:rPr>
                <w:rFonts w:hAnsi="宋体"/>
                <w:sz w:val="18"/>
                <w:szCs w:val="18"/>
              </w:rPr>
            </w:pPr>
            <w:r>
              <w:rPr>
                <w:rFonts w:hint="eastAsia" w:hAnsi="宋体"/>
                <w:sz w:val="18"/>
                <w:szCs w:val="18"/>
              </w:rPr>
              <w:t>主栅首末两分段</w:t>
            </w:r>
            <w:r>
              <w:rPr>
                <w:rFonts w:hAnsi="宋体"/>
                <w:sz w:val="18"/>
                <w:szCs w:val="18"/>
              </w:rPr>
              <w:t xml:space="preserve">2 </w:t>
            </w:r>
            <w:r>
              <w:rPr>
                <w:rFonts w:hint="eastAsia" w:hAnsi="宋体"/>
                <w:sz w:val="18"/>
                <w:szCs w:val="18"/>
              </w:rPr>
              <w:t>mm内不允许有缺失，允许其余分段单个缺失宽度≤</w:t>
            </w:r>
            <w:r>
              <w:rPr>
                <w:rFonts w:hAnsi="宋体"/>
                <w:sz w:val="18"/>
                <w:szCs w:val="18"/>
              </w:rPr>
              <w:t xml:space="preserve">0.3 </w:t>
            </w:r>
            <w:r>
              <w:rPr>
                <w:rFonts w:hint="eastAsia" w:hAnsi="宋体"/>
                <w:sz w:val="18"/>
                <w:szCs w:val="18"/>
              </w:rPr>
              <w:t>mm，长度≤</w:t>
            </w:r>
            <w:r>
              <w:rPr>
                <w:rFonts w:hAnsi="宋体"/>
                <w:sz w:val="18"/>
                <w:szCs w:val="18"/>
              </w:rPr>
              <w:t xml:space="preserve">1.5 </w:t>
            </w:r>
            <w:r>
              <w:rPr>
                <w:rFonts w:hint="eastAsia" w:hAnsi="宋体"/>
                <w:sz w:val="18"/>
                <w:szCs w:val="18"/>
              </w:rPr>
              <w:t>mm，个数≤2处</w:t>
            </w:r>
          </w:p>
        </w:tc>
        <w:tc>
          <w:tcPr>
            <w:tcW w:w="1665" w:type="pct"/>
            <w:vAlign w:val="center"/>
          </w:tcPr>
          <w:p>
            <w:pPr>
              <w:pStyle w:val="60"/>
              <w:ind w:firstLine="0" w:firstLineChars="0"/>
              <w:jc w:val="center"/>
              <w:rPr>
                <w:rFonts w:hAnsi="宋体"/>
                <w:sz w:val="18"/>
                <w:szCs w:val="18"/>
              </w:rPr>
            </w:pPr>
            <w:r>
              <w:rPr>
                <w:rFonts w:hAnsi="宋体"/>
                <w:sz w:val="18"/>
                <w:szCs w:val="18"/>
              </w:rPr>
              <w:drawing>
                <wp:inline distT="0" distB="0" distL="0" distR="0">
                  <wp:extent cx="1152525" cy="878205"/>
                  <wp:effectExtent l="0" t="0" r="952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152525" cy="878205"/>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891" w:type="pct"/>
            <w:gridSpan w:val="5"/>
            <w:vAlign w:val="center"/>
          </w:tcPr>
          <w:p>
            <w:pPr>
              <w:pStyle w:val="60"/>
              <w:ind w:firstLine="0" w:firstLineChars="0"/>
              <w:jc w:val="center"/>
              <w:rPr>
                <w:rFonts w:hAnsi="宋体"/>
                <w:sz w:val="18"/>
                <w:szCs w:val="18"/>
              </w:rPr>
            </w:pPr>
            <w:r>
              <w:rPr>
                <w:rFonts w:hint="eastAsia" w:hAnsi="宋体"/>
                <w:sz w:val="18"/>
                <w:szCs w:val="18"/>
              </w:rPr>
              <w:t>正面印偏</w:t>
            </w:r>
          </w:p>
        </w:tc>
        <w:tc>
          <w:tcPr>
            <w:tcW w:w="1991" w:type="pct"/>
            <w:vAlign w:val="center"/>
          </w:tcPr>
          <w:p>
            <w:pPr>
              <w:pStyle w:val="182"/>
              <w:rPr>
                <w:rFonts w:hAnsi="宋体"/>
                <w:szCs w:val="18"/>
              </w:rPr>
            </w:pPr>
            <w:r>
              <w:rPr>
                <w:rFonts w:hint="eastAsia" w:hAnsi="宋体"/>
                <w:szCs w:val="18"/>
              </w:rPr>
              <w:t>上下及左右偏移≤0.2mm；</w:t>
            </w:r>
          </w:p>
          <w:p>
            <w:pPr>
              <w:pStyle w:val="60"/>
              <w:ind w:firstLine="0" w:firstLineChars="0"/>
              <w:jc w:val="center"/>
              <w:rPr>
                <w:rFonts w:hAnsi="宋体"/>
                <w:sz w:val="18"/>
                <w:szCs w:val="18"/>
              </w:rPr>
            </w:pPr>
            <w:r>
              <w:rPr>
                <w:rFonts w:hint="eastAsia" w:hAnsi="宋体"/>
                <w:sz w:val="18"/>
                <w:szCs w:val="18"/>
              </w:rPr>
              <w:t>垂直主栅方向偏移≤</w:t>
            </w:r>
            <w:r>
              <w:rPr>
                <w:rFonts w:hAnsi="宋体"/>
                <w:sz w:val="18"/>
                <w:szCs w:val="18"/>
              </w:rPr>
              <w:t xml:space="preserve">0.1 </w:t>
            </w:r>
            <w:r>
              <w:rPr>
                <w:rFonts w:hint="eastAsia" w:hAnsi="宋体"/>
                <w:sz w:val="18"/>
                <w:szCs w:val="18"/>
              </w:rPr>
              <w:t>mm，平行主栅方向≤</w:t>
            </w:r>
            <w:r>
              <w:rPr>
                <w:rFonts w:hAnsi="宋体"/>
                <w:sz w:val="18"/>
                <w:szCs w:val="18"/>
              </w:rPr>
              <w:t xml:space="preserve">0.1 </w:t>
            </w:r>
            <w:r>
              <w:rPr>
                <w:rFonts w:hint="eastAsia" w:hAnsi="宋体"/>
                <w:sz w:val="18"/>
                <w:szCs w:val="18"/>
              </w:rPr>
              <w:t>mm。</w:t>
            </w:r>
          </w:p>
        </w:tc>
        <w:tc>
          <w:tcPr>
            <w:tcW w:w="1665" w:type="pct"/>
            <w:vAlign w:val="center"/>
          </w:tcPr>
          <w:p>
            <w:pPr>
              <w:pStyle w:val="60"/>
              <w:ind w:firstLine="0" w:firstLineChars="0"/>
              <w:jc w:val="center"/>
              <w:rPr>
                <w:rFonts w:hAnsi="宋体"/>
                <w:sz w:val="18"/>
                <w:szCs w:val="18"/>
              </w:rPr>
            </w:pPr>
            <w:r>
              <w:rPr>
                <w:rFonts w:hAnsi="宋体"/>
                <w:sz w:val="18"/>
                <w:szCs w:val="18"/>
              </w:rPr>
              <w:drawing>
                <wp:inline distT="0" distB="0" distL="0" distR="0">
                  <wp:extent cx="1071880" cy="769620"/>
                  <wp:effectExtent l="0" t="0" r="0" b="0"/>
                  <wp:docPr id="9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3"/>
                          <pic:cNvPicPr>
                            <a:picLocks noChangeAspect="1"/>
                          </pic:cNvPicPr>
                        </pic:nvPicPr>
                        <pic:blipFill>
                          <a:blip r:embed="rId34"/>
                          <a:srcRect l="13655" t="33794" r="8787" b="10474"/>
                          <a:stretch>
                            <a:fillRect/>
                          </a:stretch>
                        </pic:blipFill>
                        <pic:spPr>
                          <a:xfrm>
                            <a:off x="0" y="0"/>
                            <a:ext cx="1079873" cy="7756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891" w:type="pct"/>
            <w:gridSpan w:val="5"/>
            <w:vAlign w:val="center"/>
          </w:tcPr>
          <w:p>
            <w:pPr>
              <w:pStyle w:val="60"/>
              <w:ind w:firstLine="0" w:firstLineChars="0"/>
              <w:jc w:val="center"/>
              <w:rPr>
                <w:rFonts w:hAnsi="宋体"/>
                <w:sz w:val="18"/>
                <w:szCs w:val="18"/>
              </w:rPr>
            </w:pPr>
            <w:r>
              <w:rPr>
                <w:rFonts w:hint="eastAsia" w:hAnsi="宋体"/>
                <w:sz w:val="18"/>
                <w:szCs w:val="18"/>
              </w:rPr>
              <w:t>细栅粗点</w:t>
            </w:r>
          </w:p>
        </w:tc>
        <w:tc>
          <w:tcPr>
            <w:tcW w:w="1991" w:type="pct"/>
            <w:vAlign w:val="center"/>
          </w:tcPr>
          <w:p>
            <w:pPr>
              <w:pStyle w:val="182"/>
              <w:rPr>
                <w:rFonts w:hAnsi="宋体"/>
                <w:szCs w:val="18"/>
              </w:rPr>
            </w:pPr>
            <w:r>
              <w:rPr>
                <w:rFonts w:hint="eastAsia" w:hAnsi="宋体"/>
                <w:szCs w:val="18"/>
              </w:rPr>
              <w:t>单个粗点≤（</w:t>
            </w:r>
            <w:r>
              <w:rPr>
                <w:rFonts w:hAnsi="宋体"/>
                <w:szCs w:val="18"/>
              </w:rPr>
              <w:t>1.0</w:t>
            </w:r>
            <w:r>
              <w:rPr>
                <w:rFonts w:hint="eastAsia" w:hAnsi="宋体"/>
                <w:szCs w:val="18"/>
              </w:rPr>
              <w:t>×</w:t>
            </w:r>
            <w:r>
              <w:rPr>
                <w:rFonts w:hAnsi="宋体"/>
                <w:szCs w:val="18"/>
              </w:rPr>
              <w:t>0.2</w:t>
            </w:r>
            <w:r>
              <w:rPr>
                <w:rFonts w:hint="eastAsia" w:hAnsi="宋体"/>
                <w:szCs w:val="18"/>
              </w:rPr>
              <w:t>）mm，个数≤5个</w:t>
            </w:r>
          </w:p>
        </w:tc>
        <w:tc>
          <w:tcPr>
            <w:tcW w:w="1665" w:type="pct"/>
            <w:vAlign w:val="center"/>
          </w:tcPr>
          <w:p>
            <w:pPr>
              <w:pStyle w:val="60"/>
              <w:ind w:firstLine="0" w:firstLineChars="0"/>
              <w:jc w:val="center"/>
              <w:rPr>
                <w:rFonts w:hAnsi="宋体"/>
                <w:sz w:val="18"/>
                <w:szCs w:val="18"/>
              </w:rPr>
            </w:pPr>
            <w:r>
              <w:rPr>
                <w:rFonts w:hAnsi="宋体"/>
                <w:sz w:val="18"/>
                <w:szCs w:val="18"/>
              </w:rPr>
              <w:drawing>
                <wp:inline distT="0" distB="0" distL="0" distR="0">
                  <wp:extent cx="1073150" cy="871855"/>
                  <wp:effectExtent l="0" t="0" r="0" b="444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077227" cy="875604"/>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891" w:type="pct"/>
            <w:gridSpan w:val="5"/>
            <w:vAlign w:val="center"/>
          </w:tcPr>
          <w:p>
            <w:pPr>
              <w:pStyle w:val="60"/>
              <w:ind w:firstLine="0" w:firstLineChars="0"/>
              <w:jc w:val="center"/>
              <w:rPr>
                <w:rFonts w:hAnsi="宋体"/>
                <w:sz w:val="18"/>
                <w:szCs w:val="18"/>
              </w:rPr>
            </w:pPr>
            <w:r>
              <w:rPr>
                <w:rFonts w:hint="eastAsia" w:hAnsi="宋体"/>
                <w:sz w:val="18"/>
                <w:szCs w:val="18"/>
              </w:rPr>
              <w:t>断栅</w:t>
            </w:r>
          </w:p>
        </w:tc>
        <w:tc>
          <w:tcPr>
            <w:tcW w:w="1991" w:type="pct"/>
            <w:vAlign w:val="center"/>
          </w:tcPr>
          <w:p>
            <w:pPr>
              <w:pStyle w:val="182"/>
              <w:rPr>
                <w:rFonts w:hAnsi="宋体"/>
                <w:szCs w:val="18"/>
              </w:rPr>
            </w:pPr>
            <w:r>
              <w:rPr>
                <w:rFonts w:hint="eastAsia" w:hAnsi="宋体"/>
                <w:szCs w:val="18"/>
              </w:rPr>
              <w:t>允许断线距离≤</w:t>
            </w:r>
            <w:r>
              <w:rPr>
                <w:rFonts w:hAnsi="宋体"/>
                <w:szCs w:val="18"/>
              </w:rPr>
              <w:t xml:space="preserve">0.5 </w:t>
            </w:r>
            <w:r>
              <w:rPr>
                <w:rFonts w:hint="eastAsia" w:hAnsi="宋体"/>
                <w:szCs w:val="18"/>
              </w:rPr>
              <w:t>mm，数量≤4条；单包缺陷不限；</w:t>
            </w:r>
          </w:p>
          <w:p>
            <w:pPr>
              <w:pStyle w:val="182"/>
              <w:rPr>
                <w:rFonts w:hAnsi="宋体"/>
                <w:szCs w:val="18"/>
              </w:rPr>
            </w:pPr>
            <w:r>
              <w:rPr>
                <w:rFonts w:hint="eastAsia" w:hAnsi="宋体"/>
                <w:szCs w:val="18"/>
              </w:rPr>
              <w:t>允许</w:t>
            </w:r>
            <w:r>
              <w:rPr>
                <w:rFonts w:hAnsi="宋体"/>
                <w:szCs w:val="18"/>
              </w:rPr>
              <w:t xml:space="preserve">0.5 </w:t>
            </w:r>
            <w:r>
              <w:rPr>
                <w:rFonts w:hint="eastAsia" w:hAnsi="宋体"/>
                <w:szCs w:val="18"/>
              </w:rPr>
              <w:t>mm＜断线距离≤</w:t>
            </w:r>
            <w:r>
              <w:rPr>
                <w:rFonts w:hAnsi="宋体"/>
                <w:szCs w:val="18"/>
              </w:rPr>
              <w:t xml:space="preserve">4 </w:t>
            </w:r>
            <w:r>
              <w:rPr>
                <w:rFonts w:hint="eastAsia" w:hAnsi="宋体"/>
                <w:szCs w:val="18"/>
              </w:rPr>
              <w:t>mm，数量≤4条，不在同一条细栅上，单包缺陷（单片标准内）比例≤3%。</w:t>
            </w:r>
          </w:p>
        </w:tc>
        <w:tc>
          <w:tcPr>
            <w:tcW w:w="1665" w:type="pct"/>
            <w:vAlign w:val="center"/>
          </w:tcPr>
          <w:p>
            <w:pPr>
              <w:pStyle w:val="60"/>
              <w:ind w:firstLine="0" w:firstLineChars="0"/>
              <w:jc w:val="center"/>
              <w:rPr>
                <w:rFonts w:hAnsi="宋体"/>
                <w:sz w:val="18"/>
                <w:szCs w:val="18"/>
              </w:rPr>
            </w:pPr>
            <w:r>
              <w:rPr>
                <w:rFonts w:hAnsi="宋体"/>
                <w:sz w:val="18"/>
                <w:szCs w:val="18"/>
              </w:rPr>
              <w:drawing>
                <wp:inline distT="0" distB="0" distL="0" distR="0">
                  <wp:extent cx="1115060" cy="944880"/>
                  <wp:effectExtent l="0" t="0" r="8890" b="7620"/>
                  <wp:docPr id="10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8"/>
                          <pic:cNvPicPr>
                            <a:picLocks noChangeAspect="1"/>
                          </pic:cNvPicPr>
                        </pic:nvPicPr>
                        <pic:blipFill>
                          <a:blip r:embed="rId36"/>
                          <a:srcRect l="41966" t="11453" r="3289" b="4692"/>
                          <a:stretch>
                            <a:fillRect/>
                          </a:stretch>
                        </pic:blipFill>
                        <pic:spPr>
                          <a:xfrm>
                            <a:off x="0" y="0"/>
                            <a:ext cx="1143816" cy="9696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453" w:type="pct"/>
            <w:vMerge w:val="restart"/>
            <w:vAlign w:val="center"/>
          </w:tcPr>
          <w:p>
            <w:pPr>
              <w:pStyle w:val="60"/>
              <w:ind w:firstLine="0" w:firstLineChars="0"/>
              <w:jc w:val="center"/>
              <w:rPr>
                <w:rFonts w:hAnsi="宋体"/>
                <w:sz w:val="18"/>
                <w:szCs w:val="18"/>
              </w:rPr>
            </w:pPr>
            <w:r>
              <w:rPr>
                <w:rFonts w:hint="eastAsia" w:hAnsi="宋体"/>
                <w:sz w:val="18"/>
                <w:szCs w:val="18"/>
              </w:rPr>
              <w:t>背表面质量</w:t>
            </w:r>
          </w:p>
        </w:tc>
        <w:tc>
          <w:tcPr>
            <w:tcW w:w="454" w:type="pct"/>
            <w:gridSpan w:val="3"/>
            <w:vMerge w:val="restart"/>
            <w:vAlign w:val="center"/>
          </w:tcPr>
          <w:p>
            <w:pPr>
              <w:pStyle w:val="60"/>
              <w:ind w:firstLine="0" w:firstLineChars="0"/>
              <w:jc w:val="center"/>
              <w:rPr>
                <w:rFonts w:hAnsi="宋体"/>
                <w:sz w:val="18"/>
                <w:szCs w:val="18"/>
              </w:rPr>
            </w:pPr>
            <w:r>
              <w:rPr>
                <w:rFonts w:hint="eastAsia" w:hAnsi="宋体"/>
                <w:sz w:val="18"/>
                <w:szCs w:val="18"/>
              </w:rPr>
              <w:t>脏污/手指印</w:t>
            </w:r>
          </w:p>
        </w:tc>
        <w:tc>
          <w:tcPr>
            <w:tcW w:w="437" w:type="pct"/>
            <w:gridSpan w:val="2"/>
            <w:vAlign w:val="center"/>
          </w:tcPr>
          <w:p>
            <w:pPr>
              <w:pStyle w:val="60"/>
              <w:ind w:firstLine="0" w:firstLineChars="0"/>
              <w:jc w:val="center"/>
              <w:rPr>
                <w:rFonts w:hAnsi="宋体"/>
                <w:sz w:val="18"/>
                <w:szCs w:val="18"/>
              </w:rPr>
            </w:pPr>
            <w:r>
              <w:rPr>
                <w:rFonts w:hint="eastAsia" w:hAnsi="宋体"/>
                <w:sz w:val="18"/>
                <w:szCs w:val="18"/>
              </w:rPr>
              <w:t>手指印</w:t>
            </w:r>
          </w:p>
        </w:tc>
        <w:tc>
          <w:tcPr>
            <w:tcW w:w="1991" w:type="pct"/>
            <w:vAlign w:val="center"/>
          </w:tcPr>
          <w:p>
            <w:pPr>
              <w:pStyle w:val="182"/>
              <w:rPr>
                <w:rFonts w:hAnsi="宋体"/>
                <w:szCs w:val="18"/>
              </w:rPr>
            </w:pPr>
            <w:r>
              <w:rPr>
                <w:rFonts w:hint="eastAsia" w:hAnsi="宋体"/>
                <w:szCs w:val="18"/>
              </w:rPr>
              <w:t>不允许</w:t>
            </w:r>
          </w:p>
        </w:tc>
        <w:tc>
          <w:tcPr>
            <w:tcW w:w="1665" w:type="pct"/>
            <w:vAlign w:val="center"/>
          </w:tcPr>
          <w:p>
            <w:pPr>
              <w:pStyle w:val="60"/>
              <w:ind w:firstLine="0" w:firstLineChars="0"/>
              <w:jc w:val="center"/>
              <w:rPr>
                <w:rFonts w:hAnsi="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454" w:type="pct"/>
            <w:gridSpan w:val="3"/>
            <w:vMerge w:val="continue"/>
            <w:vAlign w:val="center"/>
          </w:tcPr>
          <w:p>
            <w:pPr>
              <w:pStyle w:val="60"/>
              <w:ind w:firstLine="0" w:firstLineChars="0"/>
              <w:jc w:val="center"/>
              <w:rPr>
                <w:rFonts w:hAnsi="宋体"/>
                <w:sz w:val="18"/>
                <w:szCs w:val="18"/>
              </w:rPr>
            </w:pPr>
          </w:p>
        </w:tc>
        <w:tc>
          <w:tcPr>
            <w:tcW w:w="437" w:type="pct"/>
            <w:gridSpan w:val="2"/>
            <w:vAlign w:val="center"/>
          </w:tcPr>
          <w:p>
            <w:pPr>
              <w:pStyle w:val="60"/>
              <w:ind w:firstLine="0" w:firstLineChars="0"/>
              <w:jc w:val="center"/>
              <w:rPr>
                <w:rFonts w:hAnsi="宋体"/>
                <w:sz w:val="18"/>
                <w:szCs w:val="18"/>
              </w:rPr>
            </w:pPr>
            <w:r>
              <w:rPr>
                <w:rFonts w:hint="eastAsia" w:hAnsi="宋体"/>
                <w:sz w:val="18"/>
                <w:szCs w:val="18"/>
              </w:rPr>
              <w:t>脏污</w:t>
            </w:r>
          </w:p>
        </w:tc>
        <w:tc>
          <w:tcPr>
            <w:tcW w:w="1991" w:type="pct"/>
            <w:vAlign w:val="center"/>
          </w:tcPr>
          <w:p>
            <w:pPr>
              <w:pStyle w:val="182"/>
              <w:rPr>
                <w:rFonts w:hAnsi="宋体"/>
                <w:szCs w:val="18"/>
              </w:rPr>
            </w:pPr>
            <w:r>
              <w:rPr>
                <w:rFonts w:hint="eastAsia" w:hAnsi="宋体"/>
                <w:szCs w:val="18"/>
              </w:rPr>
              <w:t>单个面积≤10</w:t>
            </w:r>
            <w:r>
              <w:rPr>
                <w:rFonts w:hAnsi="宋体"/>
                <w:szCs w:val="18"/>
              </w:rPr>
              <w:t xml:space="preserve"> mm</w:t>
            </w:r>
            <w:r>
              <w:rPr>
                <w:rFonts w:hAnsi="宋体"/>
                <w:szCs w:val="18"/>
                <w:vertAlign w:val="superscript"/>
              </w:rPr>
              <w:t>2</w:t>
            </w:r>
            <w:r>
              <w:rPr>
                <w:rFonts w:hint="eastAsia" w:hAnsi="宋体"/>
                <w:szCs w:val="18"/>
              </w:rPr>
              <w:t xml:space="preserve"> ，个数</w:t>
            </w:r>
            <w:r>
              <w:rPr>
                <w:rFonts w:hAnsi="宋体"/>
                <w:szCs w:val="18"/>
              </w:rPr>
              <w:t>4</w:t>
            </w:r>
            <w:r>
              <w:rPr>
                <w:rFonts w:hint="eastAsia" w:hAnsi="宋体"/>
                <w:szCs w:val="18"/>
              </w:rPr>
              <w:t>个</w:t>
            </w:r>
          </w:p>
        </w:tc>
        <w:tc>
          <w:tcPr>
            <w:tcW w:w="1665" w:type="pct"/>
            <w:vAlign w:val="center"/>
          </w:tcPr>
          <w:p>
            <w:pPr>
              <w:pStyle w:val="60"/>
              <w:ind w:firstLine="0" w:firstLineChars="0"/>
              <w:jc w:val="center"/>
              <w:rPr>
                <w:rFonts w:hAnsi="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891" w:type="pct"/>
            <w:gridSpan w:val="5"/>
            <w:vAlign w:val="center"/>
          </w:tcPr>
          <w:p>
            <w:pPr>
              <w:pStyle w:val="60"/>
              <w:ind w:firstLine="0" w:firstLineChars="0"/>
              <w:jc w:val="center"/>
              <w:rPr>
                <w:rFonts w:hAnsi="宋体"/>
                <w:sz w:val="18"/>
                <w:szCs w:val="18"/>
              </w:rPr>
            </w:pPr>
            <w:r>
              <w:rPr>
                <w:rFonts w:hint="eastAsia" w:hAnsi="宋体"/>
                <w:sz w:val="18"/>
                <w:szCs w:val="18"/>
              </w:rPr>
              <w:t>漏浆</w:t>
            </w:r>
          </w:p>
        </w:tc>
        <w:tc>
          <w:tcPr>
            <w:tcW w:w="1991" w:type="pct"/>
            <w:vAlign w:val="center"/>
          </w:tcPr>
          <w:p>
            <w:pPr>
              <w:pStyle w:val="182"/>
              <w:rPr>
                <w:rFonts w:hAnsi="宋体"/>
                <w:szCs w:val="18"/>
              </w:rPr>
            </w:pPr>
            <w:r>
              <w:rPr>
                <w:rFonts w:hint="eastAsia" w:hAnsi="宋体"/>
                <w:szCs w:val="18"/>
              </w:rPr>
              <w:t>不允许有边缘漏浆及浆料污染；</w:t>
            </w:r>
          </w:p>
          <w:p>
            <w:pPr>
              <w:pStyle w:val="182"/>
              <w:rPr>
                <w:rFonts w:hAnsi="宋体"/>
                <w:szCs w:val="18"/>
              </w:rPr>
            </w:pPr>
            <w:r>
              <w:rPr>
                <w:rFonts w:hint="eastAsia" w:hAnsi="宋体"/>
                <w:szCs w:val="18"/>
              </w:rPr>
              <w:t>单个漏浆面积≤</w:t>
            </w:r>
            <w:r>
              <w:rPr>
                <w:rFonts w:hAnsi="宋体"/>
                <w:szCs w:val="18"/>
              </w:rPr>
              <w:t>0.25 mm</w:t>
            </w:r>
            <w:r>
              <w:rPr>
                <w:rFonts w:hAnsi="宋体"/>
                <w:szCs w:val="18"/>
                <w:vertAlign w:val="superscript"/>
              </w:rPr>
              <w:t>2</w:t>
            </w:r>
            <w:r>
              <w:rPr>
                <w:rFonts w:hint="eastAsia" w:hAnsi="宋体"/>
                <w:szCs w:val="18"/>
              </w:rPr>
              <w:t xml:space="preserve"> ，个数不限；</w:t>
            </w:r>
          </w:p>
          <w:p>
            <w:pPr>
              <w:pStyle w:val="60"/>
              <w:ind w:firstLine="0" w:firstLineChars="0"/>
              <w:jc w:val="center"/>
              <w:rPr>
                <w:rFonts w:hAnsi="宋体"/>
                <w:sz w:val="18"/>
                <w:szCs w:val="18"/>
              </w:rPr>
            </w:pPr>
            <w:r>
              <w:rPr>
                <w:rFonts w:hAnsi="宋体"/>
                <w:sz w:val="18"/>
                <w:szCs w:val="18"/>
              </w:rPr>
              <w:t>0.25mm</w:t>
            </w:r>
            <w:r>
              <w:rPr>
                <w:rFonts w:hint="eastAsia" w:hAnsi="宋体"/>
                <w:sz w:val="18"/>
                <w:szCs w:val="18"/>
                <w:vertAlign w:val="superscript"/>
              </w:rPr>
              <w:t>²</w:t>
            </w:r>
            <w:r>
              <w:rPr>
                <w:rFonts w:hint="eastAsia" w:hAnsi="宋体"/>
                <w:sz w:val="18"/>
                <w:szCs w:val="18"/>
              </w:rPr>
              <w:t>＜单个漏浆面积≤</w:t>
            </w:r>
            <w:r>
              <w:rPr>
                <w:rFonts w:hAnsi="宋体"/>
                <w:sz w:val="18"/>
                <w:szCs w:val="18"/>
              </w:rPr>
              <w:t>1 mm²</w:t>
            </w:r>
            <w:r>
              <w:rPr>
                <w:rFonts w:hint="eastAsia" w:hAnsi="宋体"/>
                <w:sz w:val="18"/>
                <w:szCs w:val="18"/>
              </w:rPr>
              <w:t>，数量≤4个。</w:t>
            </w:r>
          </w:p>
        </w:tc>
        <w:tc>
          <w:tcPr>
            <w:tcW w:w="1665" w:type="pct"/>
            <w:vAlign w:val="center"/>
          </w:tcPr>
          <w:p>
            <w:pPr>
              <w:pStyle w:val="60"/>
              <w:ind w:firstLine="0" w:firstLineChars="0"/>
              <w:jc w:val="center"/>
              <w:rPr>
                <w:rFonts w:hAnsi="宋体"/>
                <w:sz w:val="18"/>
                <w:szCs w:val="18"/>
              </w:rPr>
            </w:pPr>
            <w:r>
              <w:rPr>
                <w:rFonts w:hAnsi="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891" w:type="pct"/>
            <w:gridSpan w:val="5"/>
            <w:vAlign w:val="center"/>
          </w:tcPr>
          <w:p>
            <w:pPr>
              <w:pStyle w:val="60"/>
              <w:ind w:firstLine="0" w:firstLineChars="0"/>
              <w:jc w:val="center"/>
              <w:rPr>
                <w:rFonts w:hAnsi="宋体"/>
                <w:sz w:val="18"/>
                <w:szCs w:val="18"/>
              </w:rPr>
            </w:pPr>
            <w:r>
              <w:rPr>
                <w:rFonts w:hint="eastAsia" w:hAnsi="宋体"/>
                <w:sz w:val="18"/>
                <w:szCs w:val="18"/>
              </w:rPr>
              <w:t>断栅</w:t>
            </w:r>
          </w:p>
        </w:tc>
        <w:tc>
          <w:tcPr>
            <w:tcW w:w="1991" w:type="pct"/>
            <w:vAlign w:val="center"/>
          </w:tcPr>
          <w:p>
            <w:pPr>
              <w:pStyle w:val="182"/>
              <w:rPr>
                <w:rFonts w:hAnsi="宋体"/>
                <w:szCs w:val="18"/>
              </w:rPr>
            </w:pPr>
            <w:r>
              <w:rPr>
                <w:rFonts w:hint="eastAsia" w:hAnsi="宋体"/>
                <w:szCs w:val="18"/>
              </w:rPr>
              <w:t>断线距离0.15mm不计；</w:t>
            </w:r>
          </w:p>
          <w:p>
            <w:pPr>
              <w:pStyle w:val="182"/>
              <w:rPr>
                <w:rFonts w:hAnsi="宋体"/>
                <w:szCs w:val="18"/>
              </w:rPr>
            </w:pPr>
            <w:r>
              <w:rPr>
                <w:rFonts w:hint="eastAsia" w:hAnsi="宋体"/>
                <w:szCs w:val="18"/>
              </w:rPr>
              <w:t>细栅线上单个断线距离≤</w:t>
            </w:r>
            <w:r>
              <w:rPr>
                <w:rFonts w:hAnsi="宋体"/>
                <w:szCs w:val="18"/>
              </w:rPr>
              <w:t xml:space="preserve">1 </w:t>
            </w:r>
            <w:r>
              <w:rPr>
                <w:rFonts w:hint="eastAsia" w:hAnsi="宋体"/>
                <w:szCs w:val="18"/>
              </w:rPr>
              <w:t>mm,数量≤4条，不在同一条细栅上；</w:t>
            </w:r>
          </w:p>
          <w:p>
            <w:pPr>
              <w:pStyle w:val="60"/>
              <w:ind w:firstLine="0" w:firstLineChars="0"/>
              <w:jc w:val="center"/>
              <w:rPr>
                <w:rFonts w:hAnsi="宋体"/>
                <w:sz w:val="18"/>
                <w:szCs w:val="18"/>
              </w:rPr>
            </w:pPr>
            <w:r>
              <w:rPr>
                <w:rFonts w:hAnsi="宋体"/>
                <w:sz w:val="18"/>
                <w:szCs w:val="18"/>
              </w:rPr>
              <w:t>1mm</w:t>
            </w:r>
            <w:r>
              <w:rPr>
                <w:rFonts w:hint="eastAsia" w:hAnsi="宋体"/>
                <w:sz w:val="18"/>
                <w:szCs w:val="18"/>
              </w:rPr>
              <w:t>＜细栅线上单个断线距离≤ 7mm,数量≤4条，不在同一条细栅上。</w:t>
            </w:r>
          </w:p>
        </w:tc>
        <w:tc>
          <w:tcPr>
            <w:tcW w:w="1665" w:type="pct"/>
            <w:vAlign w:val="center"/>
          </w:tcPr>
          <w:p>
            <w:pPr>
              <w:pStyle w:val="60"/>
              <w:ind w:firstLine="0" w:firstLineChars="0"/>
              <w:jc w:val="center"/>
              <w:rPr>
                <w:rFonts w:hAnsi="宋体"/>
                <w:sz w:val="18"/>
                <w:szCs w:val="18"/>
              </w:rPr>
            </w:pPr>
            <w:r>
              <w:rPr>
                <w:rFonts w:hAnsi="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891" w:type="pct"/>
            <w:gridSpan w:val="5"/>
            <w:vAlign w:val="center"/>
          </w:tcPr>
          <w:p>
            <w:pPr>
              <w:pStyle w:val="60"/>
              <w:ind w:firstLine="0" w:firstLineChars="0"/>
              <w:jc w:val="center"/>
              <w:rPr>
                <w:rFonts w:hAnsi="宋体"/>
                <w:sz w:val="18"/>
                <w:szCs w:val="18"/>
              </w:rPr>
            </w:pPr>
            <w:r>
              <w:rPr>
                <w:rFonts w:hint="eastAsia" w:hAnsi="宋体"/>
                <w:sz w:val="18"/>
                <w:szCs w:val="18"/>
              </w:rPr>
              <w:t>虚印</w:t>
            </w:r>
          </w:p>
        </w:tc>
        <w:tc>
          <w:tcPr>
            <w:tcW w:w="1991" w:type="pct"/>
            <w:vAlign w:val="center"/>
          </w:tcPr>
          <w:p>
            <w:pPr>
              <w:pStyle w:val="60"/>
              <w:ind w:firstLine="0" w:firstLineChars="0"/>
              <w:jc w:val="center"/>
              <w:rPr>
                <w:rFonts w:hAnsi="宋体"/>
                <w:sz w:val="18"/>
                <w:szCs w:val="18"/>
              </w:rPr>
            </w:pPr>
            <w:r>
              <w:rPr>
                <w:rFonts w:hint="eastAsia" w:hAnsi="宋体"/>
                <w:sz w:val="18"/>
                <w:szCs w:val="18"/>
              </w:rPr>
              <w:t>允许有轻微非断开的虚印，面积≤总面积的</w:t>
            </w:r>
            <w:r>
              <w:rPr>
                <w:rFonts w:hAnsi="宋体"/>
                <w:sz w:val="18"/>
                <w:szCs w:val="18"/>
              </w:rPr>
              <w:t>5%</w:t>
            </w:r>
          </w:p>
        </w:tc>
        <w:tc>
          <w:tcPr>
            <w:tcW w:w="1665" w:type="pct"/>
            <w:vAlign w:val="center"/>
          </w:tcPr>
          <w:p>
            <w:pPr>
              <w:pStyle w:val="60"/>
              <w:ind w:firstLine="0" w:firstLineChars="0"/>
              <w:jc w:val="center"/>
              <w:rPr>
                <w:rFonts w:hAnsi="宋体"/>
                <w:sz w:val="18"/>
                <w:szCs w:val="18"/>
              </w:rPr>
            </w:pPr>
            <w:r>
              <w:rPr>
                <w:rFonts w:hAnsi="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891" w:type="pct"/>
            <w:gridSpan w:val="5"/>
            <w:vAlign w:val="center"/>
          </w:tcPr>
          <w:p>
            <w:pPr>
              <w:pStyle w:val="60"/>
              <w:ind w:firstLine="0" w:firstLineChars="0"/>
              <w:jc w:val="center"/>
              <w:rPr>
                <w:rFonts w:hAnsi="宋体"/>
                <w:sz w:val="18"/>
                <w:szCs w:val="18"/>
              </w:rPr>
            </w:pPr>
            <w:r>
              <w:rPr>
                <w:rFonts w:hint="eastAsia" w:hAnsi="宋体"/>
                <w:sz w:val="18"/>
                <w:szCs w:val="18"/>
              </w:rPr>
              <w:t>背极缺损</w:t>
            </w:r>
          </w:p>
        </w:tc>
        <w:tc>
          <w:tcPr>
            <w:tcW w:w="1991" w:type="pct"/>
            <w:vAlign w:val="center"/>
          </w:tcPr>
          <w:p>
            <w:pPr>
              <w:pStyle w:val="60"/>
              <w:ind w:firstLine="0" w:firstLineChars="0"/>
              <w:jc w:val="center"/>
              <w:rPr>
                <w:rFonts w:hAnsi="宋体"/>
                <w:sz w:val="18"/>
                <w:szCs w:val="18"/>
              </w:rPr>
            </w:pPr>
            <w:r>
              <w:rPr>
                <w:rFonts w:hint="eastAsia" w:hAnsi="宋体"/>
                <w:sz w:val="18"/>
                <w:szCs w:val="18"/>
              </w:rPr>
              <w:t>背极首末分段2mm内不允许有缺失，允许其余分段单个缺失宽度≤</w:t>
            </w:r>
            <w:r>
              <w:rPr>
                <w:rFonts w:hAnsi="宋体"/>
                <w:sz w:val="18"/>
                <w:szCs w:val="18"/>
              </w:rPr>
              <w:t xml:space="preserve">0.3 </w:t>
            </w:r>
            <w:r>
              <w:rPr>
                <w:rFonts w:hint="eastAsia" w:hAnsi="宋体"/>
                <w:sz w:val="18"/>
                <w:szCs w:val="18"/>
              </w:rPr>
              <w:t>mm，长度≤</w:t>
            </w:r>
            <w:r>
              <w:rPr>
                <w:rFonts w:hAnsi="宋体"/>
                <w:sz w:val="18"/>
                <w:szCs w:val="18"/>
              </w:rPr>
              <w:t xml:space="preserve">2 </w:t>
            </w:r>
            <w:r>
              <w:rPr>
                <w:rFonts w:hint="eastAsia" w:hAnsi="宋体"/>
                <w:sz w:val="18"/>
                <w:szCs w:val="18"/>
              </w:rPr>
              <w:t>mm，个数≤2个</w:t>
            </w:r>
          </w:p>
        </w:tc>
        <w:tc>
          <w:tcPr>
            <w:tcW w:w="1665" w:type="pct"/>
            <w:vAlign w:val="center"/>
          </w:tcPr>
          <w:p>
            <w:pPr>
              <w:pStyle w:val="60"/>
              <w:ind w:firstLine="0" w:firstLineChars="0"/>
              <w:jc w:val="center"/>
              <w:rPr>
                <w:rFonts w:hAnsi="宋体"/>
                <w:sz w:val="18"/>
                <w:szCs w:val="18"/>
              </w:rPr>
            </w:pPr>
            <w:r>
              <w:rPr>
                <w:rFonts w:hAnsi="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 w:type="pct"/>
            <w:vMerge w:val="continue"/>
            <w:vAlign w:val="center"/>
          </w:tcPr>
          <w:p>
            <w:pPr>
              <w:pStyle w:val="60"/>
              <w:ind w:firstLine="0" w:firstLineChars="0"/>
              <w:jc w:val="center"/>
              <w:rPr>
                <w:rFonts w:hAnsi="宋体"/>
                <w:sz w:val="18"/>
                <w:szCs w:val="18"/>
              </w:rPr>
            </w:pPr>
          </w:p>
        </w:tc>
        <w:tc>
          <w:tcPr>
            <w:tcW w:w="891" w:type="pct"/>
            <w:gridSpan w:val="5"/>
            <w:vAlign w:val="center"/>
          </w:tcPr>
          <w:p>
            <w:pPr>
              <w:pStyle w:val="60"/>
              <w:ind w:firstLine="0" w:firstLineChars="0"/>
              <w:jc w:val="center"/>
              <w:rPr>
                <w:rFonts w:hAnsi="宋体"/>
                <w:sz w:val="18"/>
                <w:szCs w:val="18"/>
              </w:rPr>
            </w:pPr>
            <w:r>
              <w:rPr>
                <w:rFonts w:hint="eastAsia" w:hAnsi="宋体"/>
                <w:sz w:val="18"/>
                <w:szCs w:val="18"/>
              </w:rPr>
              <w:t>印刷偏移</w:t>
            </w:r>
          </w:p>
        </w:tc>
        <w:tc>
          <w:tcPr>
            <w:tcW w:w="1991" w:type="pct"/>
            <w:vAlign w:val="center"/>
          </w:tcPr>
          <w:p>
            <w:pPr>
              <w:pStyle w:val="182"/>
              <w:rPr>
                <w:rFonts w:hAnsi="宋体"/>
                <w:szCs w:val="18"/>
              </w:rPr>
            </w:pPr>
            <w:r>
              <w:rPr>
                <w:rFonts w:hint="eastAsia" w:hAnsi="宋体"/>
                <w:szCs w:val="18"/>
              </w:rPr>
              <w:t>上下及左右偏移≤0.2mm；</w:t>
            </w:r>
          </w:p>
          <w:p>
            <w:pPr>
              <w:pStyle w:val="60"/>
              <w:ind w:firstLine="0" w:firstLineChars="0"/>
              <w:jc w:val="center"/>
              <w:rPr>
                <w:rFonts w:hAnsi="宋体"/>
                <w:sz w:val="18"/>
                <w:szCs w:val="18"/>
              </w:rPr>
            </w:pPr>
            <w:r>
              <w:rPr>
                <w:rFonts w:hint="eastAsia" w:hAnsi="宋体"/>
                <w:sz w:val="18"/>
                <w:szCs w:val="18"/>
              </w:rPr>
              <w:t>垂直主栅方向偏移≤</w:t>
            </w:r>
            <w:r>
              <w:rPr>
                <w:rFonts w:hAnsi="宋体"/>
                <w:sz w:val="18"/>
                <w:szCs w:val="18"/>
              </w:rPr>
              <w:t xml:space="preserve">0.1 </w:t>
            </w:r>
            <w:r>
              <w:rPr>
                <w:rFonts w:hint="eastAsia" w:hAnsi="宋体"/>
                <w:sz w:val="18"/>
                <w:szCs w:val="18"/>
              </w:rPr>
              <w:t>mm，平行主栅方向≤</w:t>
            </w:r>
            <w:r>
              <w:rPr>
                <w:rFonts w:hAnsi="宋体"/>
                <w:sz w:val="18"/>
                <w:szCs w:val="18"/>
              </w:rPr>
              <w:t xml:space="preserve">0.1 </w:t>
            </w:r>
            <w:r>
              <w:rPr>
                <w:rFonts w:hint="eastAsia" w:hAnsi="宋体"/>
                <w:sz w:val="18"/>
                <w:szCs w:val="18"/>
              </w:rPr>
              <w:t>mm。</w:t>
            </w:r>
          </w:p>
        </w:tc>
        <w:tc>
          <w:tcPr>
            <w:tcW w:w="1665" w:type="pct"/>
            <w:vAlign w:val="center"/>
          </w:tcPr>
          <w:p>
            <w:pPr>
              <w:pStyle w:val="60"/>
              <w:ind w:firstLine="0" w:firstLineChars="0"/>
              <w:jc w:val="center"/>
              <w:rPr>
                <w:rFonts w:hAnsi="宋体"/>
                <w:sz w:val="18"/>
                <w:szCs w:val="18"/>
              </w:rPr>
            </w:pPr>
            <w:r>
              <w:rPr>
                <w:rFonts w:hAnsi="宋体"/>
                <w:sz w:val="18"/>
                <w:szCs w:val="18"/>
              </w:rPr>
              <w:t>-</w:t>
            </w:r>
          </w:p>
        </w:tc>
      </w:tr>
    </w:tbl>
    <w:p>
      <w:pPr>
        <w:pStyle w:val="60"/>
        <w:ind w:firstLine="0" w:firstLineChars="0"/>
        <w:rPr>
          <w:rFonts w:ascii="黑体" w:hAnsi="黑体" w:eastAsia="黑体"/>
        </w:rPr>
      </w:pPr>
      <w:bookmarkStart w:id="133" w:name="_Hlk148692759"/>
    </w:p>
    <w:p>
      <w:pPr>
        <w:pStyle w:val="60"/>
        <w:ind w:firstLine="0" w:firstLineChars="0"/>
        <w:jc w:val="center"/>
        <w:rPr>
          <w:rFonts w:ascii="黑体" w:hAnsi="黑体" w:eastAsia="黑体"/>
        </w:rPr>
        <w:sectPr>
          <w:pgSz w:w="11906" w:h="16838"/>
          <w:pgMar w:top="567" w:right="1134" w:bottom="1134" w:left="1134" w:header="1418" w:footer="1134" w:gutter="284"/>
          <w:pgNumType w:fmt="decimal"/>
          <w:cols w:space="425" w:num="1"/>
          <w:formProt w:val="0"/>
          <w:docGrid w:linePitch="312" w:charSpace="0"/>
        </w:sectPr>
      </w:pPr>
    </w:p>
    <w:p>
      <w:pPr>
        <w:pStyle w:val="60"/>
        <w:ind w:firstLine="0" w:firstLineChars="0"/>
        <w:jc w:val="center"/>
        <w:rPr>
          <w:rFonts w:ascii="黑体" w:hAnsi="黑体" w:eastAsia="黑体"/>
        </w:rPr>
      </w:pPr>
      <w:r>
        <w:rPr>
          <w:rFonts w:hint="eastAsia" w:ascii="黑体" w:hAnsi="黑体" w:eastAsia="黑体"/>
        </w:rPr>
        <w:t>附录</w:t>
      </w:r>
      <w:r>
        <w:rPr>
          <w:rFonts w:ascii="黑体" w:hAnsi="黑体" w:eastAsia="黑体"/>
        </w:rPr>
        <w:t>B</w:t>
      </w:r>
      <w:r>
        <w:rPr>
          <w:rFonts w:ascii="黑体" w:hAnsi="黑体" w:eastAsia="黑体"/>
        </w:rPr>
        <w:br w:type="textWrapping"/>
      </w:r>
      <w:r>
        <w:rPr>
          <w:rFonts w:hint="eastAsia" w:ascii="黑体" w:hAnsi="黑体" w:eastAsia="黑体"/>
        </w:rPr>
        <w:t>（规范性）</w:t>
      </w:r>
      <w:r>
        <w:rPr>
          <w:rFonts w:ascii="黑体" w:hAnsi="黑体" w:eastAsia="黑体"/>
        </w:rPr>
        <w:br w:type="textWrapping"/>
      </w:r>
      <w:r>
        <w:rPr>
          <w:rFonts w:hint="eastAsia" w:ascii="黑体" w:hAnsi="黑体" w:eastAsia="黑体"/>
        </w:rPr>
        <w:t>电致发光（E</w:t>
      </w:r>
      <w:r>
        <w:rPr>
          <w:rFonts w:ascii="黑体" w:hAnsi="黑体" w:eastAsia="黑体"/>
        </w:rPr>
        <w:t>L</w:t>
      </w:r>
      <w:r>
        <w:rPr>
          <w:rFonts w:hint="eastAsia" w:ascii="黑体" w:hAnsi="黑体" w:eastAsia="黑体"/>
        </w:rPr>
        <w:t>）要求</w:t>
      </w:r>
    </w:p>
    <w:p>
      <w:pPr>
        <w:pStyle w:val="60"/>
        <w:ind w:firstLine="420"/>
        <w:jc w:val="left"/>
        <w:rPr>
          <w:rFonts w:hAnsi="宋体"/>
        </w:rPr>
      </w:pPr>
      <w:r>
        <w:rPr>
          <w:rFonts w:hint="eastAsia" w:hAnsi="宋体"/>
        </w:rPr>
        <w:t>电池电致发光（</w:t>
      </w:r>
      <w:r>
        <w:rPr>
          <w:rFonts w:hAnsi="宋体"/>
        </w:rPr>
        <w:t>EL</w:t>
      </w:r>
      <w:r>
        <w:rPr>
          <w:rFonts w:hint="eastAsia" w:hAnsi="宋体"/>
        </w:rPr>
        <w:t>）要求应符合表</w:t>
      </w:r>
      <w:r>
        <w:rPr>
          <w:rFonts w:hAnsi="宋体"/>
        </w:rPr>
        <w:t>B.1的规定。</w:t>
      </w:r>
    </w:p>
    <w:p>
      <w:pPr>
        <w:pStyle w:val="60"/>
        <w:ind w:firstLine="420"/>
        <w:jc w:val="center"/>
        <w:rPr>
          <w:rFonts w:ascii="黑体" w:hAnsi="黑体" w:eastAsia="黑体"/>
        </w:rPr>
      </w:pPr>
      <w:r>
        <w:rPr>
          <w:rFonts w:hint="eastAsia" w:ascii="黑体" w:hAnsi="黑体" w:eastAsia="黑体"/>
        </w:rPr>
        <w:t>表</w:t>
      </w:r>
      <w:r>
        <w:rPr>
          <w:rFonts w:ascii="黑体" w:hAnsi="黑体" w:eastAsia="黑体"/>
        </w:rPr>
        <w:t xml:space="preserve">B.1  </w:t>
      </w:r>
      <w:r>
        <w:rPr>
          <w:rFonts w:hint="eastAsia" w:ascii="黑体" w:hAnsi="黑体" w:eastAsia="黑体"/>
        </w:rPr>
        <w:t>电致发光（</w:t>
      </w:r>
      <w:r>
        <w:rPr>
          <w:rFonts w:ascii="黑体" w:hAnsi="黑体" w:eastAsia="黑体"/>
        </w:rPr>
        <w:t>EL</w:t>
      </w:r>
      <w:r>
        <w:rPr>
          <w:rFonts w:hint="eastAsia" w:ascii="黑体" w:hAnsi="黑体" w:eastAsia="黑体"/>
        </w:rPr>
        <w:t>）要求</w:t>
      </w:r>
    </w:p>
    <w:tbl>
      <w:tblPr>
        <w:tblStyle w:val="2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61"/>
        <w:gridCol w:w="2280"/>
        <w:gridCol w:w="59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620" w:type="pct"/>
            <w:shd w:val="clear" w:color="auto" w:fill="auto"/>
          </w:tcPr>
          <w:p>
            <w:pPr>
              <w:pStyle w:val="234"/>
              <w:ind w:firstLine="0" w:firstLineChars="0"/>
              <w:jc w:val="center"/>
              <w:rPr>
                <w:rFonts w:hAnsi="宋体"/>
                <w:sz w:val="18"/>
                <w:szCs w:val="18"/>
              </w:rPr>
            </w:pPr>
            <w:r>
              <w:rPr>
                <w:rFonts w:hint="eastAsia" w:hAnsi="宋体"/>
                <w:sz w:val="18"/>
                <w:szCs w:val="18"/>
              </w:rPr>
              <w:t>检查项目</w:t>
            </w:r>
          </w:p>
        </w:tc>
        <w:tc>
          <w:tcPr>
            <w:tcW w:w="1217" w:type="pct"/>
            <w:shd w:val="clear" w:color="auto" w:fill="auto"/>
          </w:tcPr>
          <w:p>
            <w:pPr>
              <w:pStyle w:val="234"/>
              <w:ind w:firstLine="0" w:firstLineChars="0"/>
              <w:jc w:val="center"/>
              <w:rPr>
                <w:rFonts w:hAnsi="宋体"/>
                <w:sz w:val="18"/>
                <w:szCs w:val="18"/>
              </w:rPr>
            </w:pPr>
            <w:r>
              <w:rPr>
                <w:rFonts w:hint="eastAsia" w:hAnsi="宋体"/>
                <w:sz w:val="18"/>
                <w:szCs w:val="18"/>
              </w:rPr>
              <w:t>要求</w:t>
            </w:r>
          </w:p>
        </w:tc>
        <w:tc>
          <w:tcPr>
            <w:tcW w:w="3162" w:type="pct"/>
          </w:tcPr>
          <w:p>
            <w:pPr>
              <w:pStyle w:val="234"/>
              <w:ind w:firstLine="0" w:firstLineChars="0"/>
              <w:jc w:val="center"/>
              <w:rPr>
                <w:rFonts w:hAnsi="宋体"/>
                <w:sz w:val="18"/>
                <w:szCs w:val="18"/>
              </w:rPr>
            </w:pPr>
            <w:r>
              <w:rPr>
                <w:rFonts w:hAnsi="宋体"/>
                <w:sz w:val="18"/>
                <w:szCs w:val="18"/>
              </w:rPr>
              <w:t>EL</w:t>
            </w:r>
            <w:r>
              <w:rPr>
                <w:rFonts w:hint="eastAsia" w:hAnsi="宋体"/>
                <w:sz w:val="18"/>
                <w:szCs w:val="18"/>
              </w:rPr>
              <w:t>图像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20" w:type="pct"/>
            <w:shd w:val="clear" w:color="auto" w:fill="auto"/>
          </w:tcPr>
          <w:p>
            <w:pPr>
              <w:pStyle w:val="234"/>
              <w:ind w:firstLine="0" w:firstLineChars="0"/>
              <w:jc w:val="center"/>
              <w:rPr>
                <w:rFonts w:hAnsi="宋体"/>
                <w:sz w:val="18"/>
                <w:szCs w:val="18"/>
              </w:rPr>
            </w:pPr>
            <w:r>
              <w:rPr>
                <w:rFonts w:hint="eastAsia" w:hAnsi="宋体"/>
                <w:sz w:val="18"/>
                <w:szCs w:val="18"/>
              </w:rPr>
              <w:t>隐裂（十字型、一字型、八字型）</w:t>
            </w:r>
          </w:p>
        </w:tc>
        <w:tc>
          <w:tcPr>
            <w:tcW w:w="1217" w:type="pct"/>
            <w:shd w:val="clear" w:color="auto" w:fill="auto"/>
          </w:tcPr>
          <w:p>
            <w:pPr>
              <w:pStyle w:val="234"/>
              <w:ind w:firstLine="0" w:firstLineChars="0"/>
              <w:jc w:val="center"/>
              <w:rPr>
                <w:rFonts w:hAnsi="宋体"/>
                <w:sz w:val="18"/>
                <w:szCs w:val="18"/>
              </w:rPr>
            </w:pPr>
            <w:r>
              <w:rPr>
                <w:rFonts w:hint="eastAsia" w:hAnsi="宋体"/>
                <w:sz w:val="18"/>
                <w:szCs w:val="18"/>
              </w:rPr>
              <w:t>不允许</w:t>
            </w:r>
          </w:p>
        </w:tc>
        <w:tc>
          <w:tcPr>
            <w:tcW w:w="3162" w:type="pct"/>
          </w:tcPr>
          <w:p>
            <w:pPr>
              <w:pStyle w:val="234"/>
              <w:ind w:firstLine="0" w:firstLineChars="0"/>
              <w:jc w:val="center"/>
              <w:rPr>
                <w:rFonts w:hAnsi="宋体"/>
                <w:sz w:val="18"/>
                <w:szCs w:val="18"/>
              </w:rPr>
            </w:pPr>
            <w:r>
              <w:rPr>
                <w:rFonts w:hAnsi="宋体"/>
                <w:sz w:val="18"/>
                <w:szCs w:val="18"/>
              </w:rPr>
              <w:drawing>
                <wp:inline distT="0" distB="0" distL="0" distR="0">
                  <wp:extent cx="2266950" cy="890270"/>
                  <wp:effectExtent l="0" t="0" r="0" b="508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7" cstate="print">
                            <a:extLst>
                              <a:ext uri="{28A0092B-C50C-407E-A947-70E740481C1C}">
                                <a14:useLocalDpi xmlns:a14="http://schemas.microsoft.com/office/drawing/2010/main" val="0"/>
                              </a:ext>
                            </a:extLst>
                          </a:blip>
                          <a:srcRect r="19777"/>
                          <a:stretch>
                            <a:fillRect/>
                          </a:stretch>
                        </pic:blipFill>
                        <pic:spPr>
                          <a:xfrm>
                            <a:off x="0" y="0"/>
                            <a:ext cx="2289585" cy="899227"/>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20" w:type="pct"/>
            <w:shd w:val="clear" w:color="auto" w:fill="auto"/>
          </w:tcPr>
          <w:p>
            <w:pPr>
              <w:pStyle w:val="234"/>
              <w:ind w:firstLine="0" w:firstLineChars="0"/>
              <w:jc w:val="center"/>
              <w:rPr>
                <w:rFonts w:hAnsi="宋体"/>
                <w:sz w:val="18"/>
                <w:szCs w:val="18"/>
              </w:rPr>
            </w:pPr>
            <w:r>
              <w:rPr>
                <w:rFonts w:hint="eastAsia" w:hAnsi="宋体"/>
                <w:sz w:val="18"/>
                <w:szCs w:val="18"/>
              </w:rPr>
              <w:t>同心圆发黑</w:t>
            </w:r>
          </w:p>
        </w:tc>
        <w:tc>
          <w:tcPr>
            <w:tcW w:w="1217" w:type="pct"/>
            <w:shd w:val="clear" w:color="auto" w:fill="auto"/>
          </w:tcPr>
          <w:p>
            <w:pPr>
              <w:pStyle w:val="234"/>
              <w:ind w:firstLine="0" w:firstLineChars="0"/>
              <w:jc w:val="center"/>
              <w:rPr>
                <w:rFonts w:hAnsi="宋体"/>
                <w:sz w:val="18"/>
                <w:szCs w:val="18"/>
              </w:rPr>
            </w:pPr>
            <w:r>
              <w:rPr>
                <w:rFonts w:hint="eastAsia" w:hAnsi="宋体"/>
                <w:sz w:val="18"/>
                <w:szCs w:val="18"/>
              </w:rPr>
              <w:t>不允许</w:t>
            </w:r>
          </w:p>
        </w:tc>
        <w:tc>
          <w:tcPr>
            <w:tcW w:w="3162" w:type="pct"/>
          </w:tcPr>
          <w:p>
            <w:pPr>
              <w:pStyle w:val="234"/>
              <w:ind w:firstLine="0" w:firstLineChars="0"/>
              <w:jc w:val="center"/>
              <w:rPr>
                <w:rFonts w:hAnsi="宋体"/>
                <w:sz w:val="18"/>
                <w:szCs w:val="18"/>
              </w:rPr>
            </w:pPr>
            <w:r>
              <w:rPr>
                <w:rFonts w:hAnsi="宋体"/>
                <w:sz w:val="18"/>
                <w:szCs w:val="18"/>
              </w:rPr>
              <w:drawing>
                <wp:inline distT="0" distB="0" distL="0" distR="0">
                  <wp:extent cx="1056005" cy="78803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8" cstate="print">
                            <a:extLst>
                              <a:ext uri="{28A0092B-C50C-407E-A947-70E740481C1C}">
                                <a14:useLocalDpi xmlns:a14="http://schemas.microsoft.com/office/drawing/2010/main" val="0"/>
                              </a:ext>
                            </a:extLst>
                          </a:blip>
                          <a:srcRect r="68462"/>
                          <a:stretch>
                            <a:fillRect/>
                          </a:stretch>
                        </pic:blipFill>
                        <pic:spPr>
                          <a:xfrm>
                            <a:off x="0" y="0"/>
                            <a:ext cx="1084019" cy="808677"/>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20" w:type="pct"/>
            <w:shd w:val="clear" w:color="auto" w:fill="auto"/>
          </w:tcPr>
          <w:p>
            <w:pPr>
              <w:pStyle w:val="234"/>
              <w:ind w:firstLine="0" w:firstLineChars="0"/>
              <w:jc w:val="center"/>
              <w:rPr>
                <w:rFonts w:hAnsi="宋体"/>
                <w:sz w:val="18"/>
                <w:szCs w:val="18"/>
              </w:rPr>
            </w:pPr>
            <w:r>
              <w:rPr>
                <w:rFonts w:hint="eastAsia" w:hAnsi="宋体"/>
                <w:sz w:val="18"/>
                <w:szCs w:val="18"/>
              </w:rPr>
              <w:t>断栅</w:t>
            </w:r>
          </w:p>
        </w:tc>
        <w:tc>
          <w:tcPr>
            <w:tcW w:w="1217" w:type="pct"/>
            <w:shd w:val="clear" w:color="auto" w:fill="auto"/>
          </w:tcPr>
          <w:p>
            <w:pPr>
              <w:pStyle w:val="234"/>
              <w:ind w:firstLine="0" w:firstLineChars="0"/>
              <w:jc w:val="center"/>
              <w:rPr>
                <w:rFonts w:hAnsi="宋体"/>
                <w:sz w:val="18"/>
                <w:szCs w:val="18"/>
              </w:rPr>
            </w:pPr>
            <w:r>
              <w:rPr>
                <w:rFonts w:hint="eastAsia" w:hAnsi="宋体"/>
                <w:sz w:val="18"/>
                <w:szCs w:val="18"/>
              </w:rPr>
              <w:t>允许图1暗度浅的断栅≤7根，单包比例不计；其他不允许。</w:t>
            </w:r>
          </w:p>
        </w:tc>
        <w:tc>
          <w:tcPr>
            <w:tcW w:w="3162" w:type="pct"/>
          </w:tcPr>
          <w:p>
            <w:pPr>
              <w:pStyle w:val="234"/>
              <w:ind w:firstLine="0" w:firstLineChars="0"/>
              <w:jc w:val="center"/>
              <w:rPr>
                <w:rFonts w:hAnsi="宋体"/>
                <w:sz w:val="18"/>
                <w:szCs w:val="18"/>
              </w:rPr>
            </w:pPr>
            <w:r>
              <w:rPr>
                <w:rFonts w:hAnsi="宋体"/>
                <w:sz w:val="18"/>
                <w:szCs w:val="18"/>
              </w:rPr>
              <w:drawing>
                <wp:inline distT="0" distB="0" distL="0" distR="0">
                  <wp:extent cx="2748280" cy="90233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795795" cy="918092"/>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20" w:type="pct"/>
            <w:shd w:val="clear" w:color="auto" w:fill="auto"/>
          </w:tcPr>
          <w:p>
            <w:pPr>
              <w:pStyle w:val="234"/>
              <w:ind w:firstLine="0" w:firstLineChars="0"/>
              <w:jc w:val="center"/>
              <w:rPr>
                <w:rFonts w:hAnsi="宋体"/>
                <w:sz w:val="18"/>
                <w:szCs w:val="18"/>
              </w:rPr>
            </w:pPr>
            <w:r>
              <w:rPr>
                <w:rFonts w:hint="eastAsia" w:hAnsi="宋体"/>
                <w:sz w:val="18"/>
                <w:szCs w:val="18"/>
              </w:rPr>
              <w:t>皮带印/滚轮印</w:t>
            </w:r>
          </w:p>
        </w:tc>
        <w:tc>
          <w:tcPr>
            <w:tcW w:w="1217" w:type="pct"/>
            <w:shd w:val="clear" w:color="auto" w:fill="auto"/>
          </w:tcPr>
          <w:p>
            <w:pPr>
              <w:pStyle w:val="234"/>
              <w:ind w:firstLine="0" w:firstLineChars="0"/>
              <w:rPr>
                <w:rFonts w:hAnsi="宋体"/>
                <w:sz w:val="18"/>
                <w:szCs w:val="18"/>
              </w:rPr>
            </w:pPr>
            <w:r>
              <w:rPr>
                <w:rFonts w:hint="eastAsia" w:hAnsi="宋体"/>
                <w:sz w:val="18"/>
                <w:szCs w:val="18"/>
              </w:rPr>
              <w:t>1、不允许暗度深的皮带印；</w:t>
            </w:r>
          </w:p>
          <w:p>
            <w:pPr>
              <w:pStyle w:val="234"/>
              <w:ind w:firstLine="0" w:firstLineChars="0"/>
              <w:jc w:val="center"/>
              <w:rPr>
                <w:rFonts w:hAnsi="宋体"/>
                <w:sz w:val="18"/>
                <w:szCs w:val="18"/>
              </w:rPr>
            </w:pPr>
            <w:r>
              <w:rPr>
                <w:rFonts w:hint="eastAsia" w:hAnsi="宋体"/>
                <w:sz w:val="18"/>
                <w:szCs w:val="18"/>
              </w:rPr>
              <w:t>2、允许暗度浅的皮带印，不限长度；</w:t>
            </w:r>
          </w:p>
        </w:tc>
        <w:tc>
          <w:tcPr>
            <w:tcW w:w="3162" w:type="pct"/>
          </w:tcPr>
          <w:p>
            <w:pPr>
              <w:pStyle w:val="234"/>
              <w:ind w:firstLine="0" w:firstLineChars="0"/>
              <w:jc w:val="center"/>
              <w:rPr>
                <w:rFonts w:hAnsi="宋体"/>
                <w:sz w:val="18"/>
                <w:szCs w:val="18"/>
              </w:rPr>
            </w:pPr>
            <w:r>
              <w:rPr>
                <w:rFonts w:hAnsi="宋体"/>
                <w:sz w:val="18"/>
                <w:szCs w:val="18"/>
              </w:rPr>
              <w:drawing>
                <wp:inline distT="0" distB="0" distL="0" distR="0">
                  <wp:extent cx="2895600" cy="9144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920692" cy="9222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20" w:type="pct"/>
            <w:shd w:val="clear" w:color="auto" w:fill="auto"/>
          </w:tcPr>
          <w:p>
            <w:pPr>
              <w:pStyle w:val="234"/>
              <w:ind w:firstLine="0" w:firstLineChars="0"/>
              <w:jc w:val="center"/>
              <w:rPr>
                <w:rFonts w:hAnsi="宋体"/>
                <w:sz w:val="18"/>
                <w:szCs w:val="18"/>
              </w:rPr>
            </w:pPr>
            <w:r>
              <w:rPr>
                <w:rFonts w:hint="eastAsia" w:hAnsi="宋体"/>
                <w:sz w:val="18"/>
                <w:szCs w:val="18"/>
              </w:rPr>
              <w:t>吸盘印</w:t>
            </w:r>
          </w:p>
        </w:tc>
        <w:tc>
          <w:tcPr>
            <w:tcW w:w="1217" w:type="pct"/>
            <w:shd w:val="clear" w:color="auto" w:fill="auto"/>
          </w:tcPr>
          <w:p>
            <w:pPr>
              <w:pStyle w:val="234"/>
              <w:ind w:firstLine="0" w:firstLineChars="0"/>
              <w:rPr>
                <w:rFonts w:hAnsi="宋体"/>
                <w:sz w:val="18"/>
                <w:szCs w:val="18"/>
              </w:rPr>
            </w:pPr>
            <w:r>
              <w:rPr>
                <w:rFonts w:hint="eastAsia" w:hAnsi="宋体"/>
                <w:sz w:val="18"/>
                <w:szCs w:val="18"/>
              </w:rPr>
              <w:t>1、不允许暗度深的吸盘印；</w:t>
            </w:r>
          </w:p>
          <w:p>
            <w:pPr>
              <w:pStyle w:val="234"/>
              <w:ind w:firstLine="0" w:firstLineChars="0"/>
              <w:jc w:val="center"/>
              <w:rPr>
                <w:rFonts w:hAnsi="宋体"/>
                <w:sz w:val="18"/>
                <w:szCs w:val="18"/>
              </w:rPr>
            </w:pPr>
            <w:r>
              <w:rPr>
                <w:rFonts w:hint="eastAsia" w:hAnsi="宋体"/>
                <w:sz w:val="18"/>
                <w:szCs w:val="18"/>
              </w:rPr>
              <w:t>2、允许暗度浅的吸盘印；</w:t>
            </w:r>
          </w:p>
        </w:tc>
        <w:tc>
          <w:tcPr>
            <w:tcW w:w="3162" w:type="pct"/>
          </w:tcPr>
          <w:p>
            <w:pPr>
              <w:pStyle w:val="234"/>
              <w:ind w:firstLine="0" w:firstLineChars="0"/>
              <w:jc w:val="center"/>
              <w:rPr>
                <w:rFonts w:hAnsi="宋体"/>
                <w:sz w:val="18"/>
                <w:szCs w:val="18"/>
              </w:rPr>
            </w:pPr>
            <w:r>
              <w:rPr>
                <w:rFonts w:hAnsi="宋体"/>
                <w:sz w:val="18"/>
                <w:szCs w:val="18"/>
              </w:rPr>
              <w:drawing>
                <wp:inline distT="0" distB="0" distL="0" distR="0">
                  <wp:extent cx="2430145" cy="1046480"/>
                  <wp:effectExtent l="0" t="0" r="8255" b="127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461589" cy="1060237"/>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20" w:type="pct"/>
            <w:shd w:val="clear" w:color="auto" w:fill="auto"/>
          </w:tcPr>
          <w:p>
            <w:pPr>
              <w:pStyle w:val="234"/>
              <w:ind w:firstLine="0" w:firstLineChars="0"/>
              <w:jc w:val="center"/>
              <w:rPr>
                <w:rFonts w:hAnsi="宋体"/>
                <w:sz w:val="18"/>
                <w:szCs w:val="18"/>
              </w:rPr>
            </w:pPr>
            <w:r>
              <w:rPr>
                <w:rFonts w:hint="eastAsia" w:hAnsi="宋体"/>
                <w:sz w:val="18"/>
                <w:szCs w:val="18"/>
              </w:rPr>
              <w:t>黑边</w:t>
            </w:r>
          </w:p>
        </w:tc>
        <w:tc>
          <w:tcPr>
            <w:tcW w:w="1217" w:type="pct"/>
            <w:shd w:val="clear" w:color="auto" w:fill="auto"/>
          </w:tcPr>
          <w:p>
            <w:pPr>
              <w:pStyle w:val="234"/>
              <w:ind w:firstLine="0" w:firstLineChars="0"/>
              <w:rPr>
                <w:rFonts w:hAnsi="宋体"/>
                <w:sz w:val="18"/>
                <w:szCs w:val="18"/>
              </w:rPr>
            </w:pPr>
            <w:r>
              <w:rPr>
                <w:rFonts w:hint="eastAsia" w:hAnsi="宋体"/>
                <w:sz w:val="18"/>
                <w:szCs w:val="18"/>
              </w:rPr>
              <w:t>1、允许暗度较轻微黑边，具体参照黑边限样；</w:t>
            </w:r>
          </w:p>
          <w:p>
            <w:pPr>
              <w:pStyle w:val="234"/>
              <w:ind w:firstLine="0" w:firstLineChars="0"/>
              <w:rPr>
                <w:rFonts w:hAnsi="宋体"/>
                <w:sz w:val="18"/>
                <w:szCs w:val="18"/>
              </w:rPr>
            </w:pPr>
            <w:r>
              <w:rPr>
                <w:rFonts w:hint="eastAsia" w:hAnsi="宋体"/>
                <w:sz w:val="18"/>
                <w:szCs w:val="18"/>
              </w:rPr>
              <w:t>2、允许暗度深，宽度≤5mm的条形边缘发黑；</w:t>
            </w:r>
          </w:p>
          <w:p>
            <w:pPr>
              <w:pStyle w:val="234"/>
              <w:ind w:firstLine="0" w:firstLineChars="0"/>
              <w:jc w:val="center"/>
              <w:rPr>
                <w:rFonts w:hAnsi="宋体"/>
                <w:sz w:val="18"/>
                <w:szCs w:val="18"/>
              </w:rPr>
            </w:pPr>
            <w:r>
              <w:rPr>
                <w:rFonts w:hint="eastAsia" w:hAnsi="宋体"/>
                <w:sz w:val="18"/>
                <w:szCs w:val="18"/>
              </w:rPr>
              <w:t xml:space="preserve">3、宽度＞5mm边缘发黑不允许。  </w:t>
            </w:r>
          </w:p>
        </w:tc>
        <w:tc>
          <w:tcPr>
            <w:tcW w:w="3162" w:type="pct"/>
          </w:tcPr>
          <w:p>
            <w:pPr>
              <w:pStyle w:val="234"/>
              <w:ind w:firstLine="0" w:firstLineChars="0"/>
              <w:jc w:val="center"/>
              <w:rPr>
                <w:rFonts w:hAnsi="宋体"/>
                <w:sz w:val="18"/>
                <w:szCs w:val="18"/>
              </w:rPr>
            </w:pPr>
            <w:r>
              <w:rPr>
                <w:rFonts w:hAnsi="宋体"/>
                <w:sz w:val="18"/>
                <w:szCs w:val="18"/>
              </w:rPr>
              <w:drawing>
                <wp:inline distT="0" distB="0" distL="0" distR="0">
                  <wp:extent cx="2573655" cy="970915"/>
                  <wp:effectExtent l="0" t="0" r="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92054" cy="977824"/>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20" w:type="pct"/>
            <w:shd w:val="clear" w:color="auto" w:fill="auto"/>
          </w:tcPr>
          <w:p>
            <w:pPr>
              <w:pStyle w:val="234"/>
              <w:ind w:firstLine="0" w:firstLineChars="0"/>
              <w:jc w:val="center"/>
              <w:rPr>
                <w:rFonts w:hAnsi="宋体"/>
                <w:sz w:val="18"/>
                <w:szCs w:val="18"/>
              </w:rPr>
            </w:pPr>
            <w:r>
              <w:rPr>
                <w:rFonts w:hint="eastAsia" w:hAnsi="宋体"/>
                <w:sz w:val="18"/>
                <w:szCs w:val="18"/>
              </w:rPr>
              <w:t>划伤</w:t>
            </w:r>
          </w:p>
        </w:tc>
        <w:tc>
          <w:tcPr>
            <w:tcW w:w="1217" w:type="pct"/>
            <w:shd w:val="clear" w:color="auto" w:fill="auto"/>
          </w:tcPr>
          <w:p>
            <w:pPr>
              <w:pStyle w:val="234"/>
              <w:ind w:firstLine="0" w:firstLineChars="0"/>
              <w:rPr>
                <w:rFonts w:hAnsi="宋体"/>
                <w:sz w:val="18"/>
                <w:szCs w:val="18"/>
              </w:rPr>
            </w:pPr>
            <w:r>
              <w:rPr>
                <w:rFonts w:hint="eastAsia" w:hAnsi="宋体"/>
                <w:sz w:val="18"/>
                <w:szCs w:val="18"/>
              </w:rPr>
              <w:t>1、允许图1轻微划伤，不限单根长度，个数≤6根；</w:t>
            </w:r>
          </w:p>
          <w:p>
            <w:pPr>
              <w:pStyle w:val="234"/>
              <w:ind w:firstLine="0" w:firstLineChars="0"/>
              <w:rPr>
                <w:rFonts w:hAnsi="宋体"/>
                <w:sz w:val="18"/>
                <w:szCs w:val="18"/>
              </w:rPr>
            </w:pPr>
            <w:r>
              <w:rPr>
                <w:rFonts w:hint="eastAsia" w:hAnsi="宋体"/>
                <w:sz w:val="18"/>
                <w:szCs w:val="18"/>
              </w:rPr>
              <w:t>2、允许图2、图3暗度深划伤，单根长度≤25mm，，宽度≤1mm，个数≤2根；</w:t>
            </w:r>
          </w:p>
          <w:p>
            <w:pPr>
              <w:pStyle w:val="234"/>
              <w:ind w:firstLine="0" w:firstLineChars="0"/>
              <w:rPr>
                <w:rFonts w:hAnsi="宋体"/>
                <w:sz w:val="18"/>
                <w:szCs w:val="18"/>
              </w:rPr>
            </w:pPr>
            <w:r>
              <w:rPr>
                <w:rFonts w:hint="eastAsia" w:hAnsi="宋体"/>
                <w:sz w:val="18"/>
                <w:szCs w:val="18"/>
              </w:rPr>
              <w:t>3、不允许区域内≥3根以上的密集暗度深划伤。</w:t>
            </w:r>
          </w:p>
        </w:tc>
        <w:tc>
          <w:tcPr>
            <w:tcW w:w="3162" w:type="pct"/>
          </w:tcPr>
          <w:p>
            <w:pPr>
              <w:pStyle w:val="234"/>
              <w:ind w:firstLine="0" w:firstLineChars="0"/>
              <w:jc w:val="center"/>
              <w:rPr>
                <w:rFonts w:hAnsi="宋体"/>
                <w:sz w:val="18"/>
                <w:szCs w:val="18"/>
              </w:rPr>
            </w:pPr>
            <w:r>
              <w:rPr>
                <w:rFonts w:hAnsi="宋体"/>
                <w:sz w:val="18"/>
                <w:szCs w:val="18"/>
              </w:rPr>
              <w:drawing>
                <wp:inline distT="0" distB="0" distL="0" distR="0">
                  <wp:extent cx="2873375" cy="962025"/>
                  <wp:effectExtent l="0" t="0" r="3175"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899493" cy="9711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20" w:type="pct"/>
            <w:shd w:val="clear" w:color="auto" w:fill="auto"/>
          </w:tcPr>
          <w:p>
            <w:pPr>
              <w:pStyle w:val="234"/>
              <w:ind w:firstLine="0" w:firstLineChars="0"/>
              <w:jc w:val="center"/>
              <w:rPr>
                <w:rFonts w:hAnsi="宋体"/>
                <w:sz w:val="18"/>
                <w:szCs w:val="18"/>
              </w:rPr>
            </w:pPr>
            <w:r>
              <w:rPr>
                <w:rFonts w:hint="eastAsia" w:hAnsi="宋体"/>
                <w:sz w:val="18"/>
                <w:szCs w:val="18"/>
              </w:rPr>
              <w:t>边缘黑点</w:t>
            </w:r>
          </w:p>
        </w:tc>
        <w:tc>
          <w:tcPr>
            <w:tcW w:w="1217" w:type="pct"/>
            <w:shd w:val="clear" w:color="auto" w:fill="auto"/>
          </w:tcPr>
          <w:p>
            <w:pPr>
              <w:pStyle w:val="234"/>
              <w:ind w:firstLine="0" w:firstLineChars="0"/>
              <w:rPr>
                <w:rFonts w:hAnsi="宋体"/>
                <w:sz w:val="18"/>
                <w:szCs w:val="18"/>
              </w:rPr>
            </w:pPr>
            <w:r>
              <w:rPr>
                <w:rFonts w:hint="eastAsia" w:hAnsi="宋体"/>
                <w:sz w:val="18"/>
                <w:szCs w:val="18"/>
              </w:rPr>
              <w:t>1、边缘暗度浅或单个面积≤5mm²黑斑，不限个数；</w:t>
            </w:r>
          </w:p>
          <w:p>
            <w:pPr>
              <w:pStyle w:val="234"/>
              <w:ind w:firstLine="0" w:firstLineChars="0"/>
              <w:rPr>
                <w:rFonts w:hAnsi="宋体"/>
                <w:sz w:val="18"/>
                <w:szCs w:val="18"/>
              </w:rPr>
            </w:pPr>
            <w:r>
              <w:rPr>
                <w:rFonts w:hint="eastAsia" w:hAnsi="宋体"/>
                <w:sz w:val="18"/>
                <w:szCs w:val="18"/>
              </w:rPr>
              <w:t>2、允许边缘分散型暗度深黑点，单个直径≤5mm，数量≤6个；</w:t>
            </w:r>
          </w:p>
          <w:p>
            <w:pPr>
              <w:pStyle w:val="234"/>
              <w:ind w:firstLine="0" w:firstLineChars="0"/>
              <w:jc w:val="center"/>
              <w:rPr>
                <w:rFonts w:hAnsi="宋体"/>
                <w:sz w:val="18"/>
                <w:szCs w:val="18"/>
              </w:rPr>
            </w:pPr>
            <w:r>
              <w:rPr>
                <w:rFonts w:hint="eastAsia" w:hAnsi="宋体"/>
                <w:sz w:val="18"/>
                <w:szCs w:val="18"/>
              </w:rPr>
              <w:t>3、不允许如图3密集分布的暗度深黑点。</w:t>
            </w:r>
          </w:p>
        </w:tc>
        <w:tc>
          <w:tcPr>
            <w:tcW w:w="3162" w:type="pct"/>
          </w:tcPr>
          <w:p>
            <w:pPr>
              <w:pStyle w:val="234"/>
              <w:ind w:firstLine="0" w:firstLineChars="0"/>
              <w:jc w:val="center"/>
              <w:rPr>
                <w:rFonts w:hAnsi="宋体"/>
                <w:sz w:val="18"/>
                <w:szCs w:val="18"/>
              </w:rPr>
            </w:pPr>
            <w:r>
              <w:rPr>
                <w:rFonts w:hAnsi="宋体"/>
                <w:sz w:val="18"/>
                <w:szCs w:val="18"/>
              </w:rPr>
              <w:drawing>
                <wp:inline distT="0" distB="0" distL="0" distR="0">
                  <wp:extent cx="2587625" cy="842010"/>
                  <wp:effectExtent l="0" t="0" r="317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616372" cy="851367"/>
                          </a:xfrm>
                          <a:prstGeom prst="rect">
                            <a:avLst/>
                          </a:prstGeom>
                          <a:noFill/>
                          <a:ln>
                            <a:noFill/>
                          </a:ln>
                        </pic:spPr>
                      </pic:pic>
                    </a:graphicData>
                  </a:graphic>
                </wp:inline>
              </w:drawing>
            </w:r>
          </w:p>
        </w:tc>
      </w:tr>
    </w:tbl>
    <w:p>
      <w:pPr>
        <w:pStyle w:val="60"/>
        <w:ind w:firstLine="0" w:firstLineChars="0"/>
        <w:jc w:val="center"/>
        <w:rPr>
          <w:rFonts w:ascii="黑体" w:hAnsi="黑体" w:eastAsia="黑体"/>
        </w:rPr>
        <w:sectPr>
          <w:pgSz w:w="11906" w:h="16838"/>
          <w:pgMar w:top="567" w:right="1134" w:bottom="1134" w:left="1134" w:header="1418" w:footer="1134" w:gutter="284"/>
          <w:pgNumType w:fmt="decimal"/>
          <w:cols w:space="425" w:num="1"/>
          <w:formProt w:val="0"/>
          <w:docGrid w:linePitch="312" w:charSpace="0"/>
        </w:sectPr>
      </w:pPr>
    </w:p>
    <w:p>
      <w:pPr>
        <w:pStyle w:val="60"/>
        <w:ind w:firstLine="0" w:firstLineChars="0"/>
        <w:jc w:val="center"/>
        <w:rPr>
          <w:rFonts w:ascii="黑体" w:hAnsi="黑体" w:eastAsia="黑体"/>
        </w:rPr>
      </w:pPr>
      <w:r>
        <w:rPr>
          <w:rFonts w:hint="eastAsia" w:ascii="黑体" w:hAnsi="黑体" w:eastAsia="黑体"/>
        </w:rPr>
        <w:t>附录</w:t>
      </w:r>
      <w:r>
        <w:rPr>
          <w:rFonts w:ascii="黑体" w:hAnsi="黑体" w:eastAsia="黑体"/>
        </w:rPr>
        <w:t>C</w:t>
      </w:r>
      <w:r>
        <w:rPr>
          <w:rFonts w:ascii="黑体" w:hAnsi="黑体" w:eastAsia="黑体"/>
        </w:rPr>
        <w:br w:type="textWrapping"/>
      </w:r>
      <w:r>
        <w:rPr>
          <w:rFonts w:hint="eastAsia" w:ascii="黑体" w:hAnsi="黑体" w:eastAsia="黑体"/>
        </w:rPr>
        <w:t>（规范性）</w:t>
      </w:r>
      <w:r>
        <w:rPr>
          <w:rFonts w:ascii="黑体" w:hAnsi="黑体" w:eastAsia="黑体"/>
        </w:rPr>
        <w:br w:type="textWrapping"/>
      </w:r>
      <w:r>
        <w:rPr>
          <w:rFonts w:hint="eastAsia" w:ascii="黑体" w:hAnsi="黑体" w:eastAsia="黑体"/>
        </w:rPr>
        <w:t>小组件的层压制作</w:t>
      </w:r>
    </w:p>
    <w:p>
      <w:pPr>
        <w:pStyle w:val="60"/>
        <w:ind w:firstLine="0" w:firstLineChars="0"/>
      </w:pPr>
      <w:r>
        <w:rPr>
          <w:rFonts w:hint="eastAsia" w:ascii="黑体" w:hAnsi="黑体" w:eastAsia="黑体"/>
          <w:lang w:val="en-US" w:eastAsia="zh-CN"/>
        </w:rPr>
        <w:t>C</w:t>
      </w:r>
      <w:r>
        <w:rPr>
          <w:rFonts w:ascii="黑体" w:hAnsi="黑体" w:eastAsia="黑体"/>
        </w:rPr>
        <w:t xml:space="preserve">.1  </w:t>
      </w:r>
      <w:r>
        <w:rPr>
          <w:rFonts w:hint="eastAsia"/>
        </w:rPr>
        <w:t>小组件的层压制作方法包括：</w:t>
      </w:r>
    </w:p>
    <w:p>
      <w:pPr>
        <w:pStyle w:val="178"/>
        <w:numPr>
          <w:ilvl w:val="0"/>
          <w:numId w:val="35"/>
        </w:numPr>
      </w:pPr>
      <w:r>
        <w:rPr>
          <w:rFonts w:hint="eastAsia"/>
        </w:rPr>
        <w:t>将所需测试的小组件焊接，正负极由汇流带引出；</w:t>
      </w:r>
    </w:p>
    <w:p>
      <w:pPr>
        <w:pStyle w:val="178"/>
      </w:pPr>
      <w:r>
        <w:rPr>
          <w:rFonts w:hint="eastAsia"/>
        </w:rPr>
        <w:t>按照背板/胶膜/电池片/胶膜/玻璃的方式层压小组件；</w:t>
      </w:r>
    </w:p>
    <w:p>
      <w:pPr>
        <w:pStyle w:val="178"/>
      </w:pPr>
      <w:r>
        <w:rPr>
          <w:rFonts w:hint="eastAsia"/>
        </w:rPr>
        <w:t>小组件层压后胶膜的交联度需在75%～90%之间，小组件层压示意图见图C</w:t>
      </w:r>
      <w:r>
        <w:t>.1</w:t>
      </w:r>
      <w:r>
        <w:rPr>
          <w:rFonts w:hint="eastAsia"/>
        </w:rPr>
        <w:t>。</w:t>
      </w:r>
    </w:p>
    <w:p>
      <w:pPr>
        <w:pStyle w:val="203"/>
      </w:pPr>
    </w:p>
    <w:p>
      <w:pPr>
        <w:pStyle w:val="202"/>
      </w:pPr>
    </w:p>
    <w:p>
      <w:pPr>
        <w:pStyle w:val="60"/>
        <w:ind w:firstLine="0" w:firstLineChars="0"/>
      </w:pPr>
    </w:p>
    <w:p>
      <w:pPr>
        <w:pStyle w:val="60"/>
        <w:ind w:firstLine="0" w:firstLineChars="0"/>
        <w:jc w:val="center"/>
      </w:pPr>
      <w:r>
        <w:drawing>
          <wp:inline distT="0" distB="0" distL="0" distR="0">
            <wp:extent cx="3429000" cy="183515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3429000" cy="1835150"/>
                    </a:xfrm>
                    <a:prstGeom prst="rect">
                      <a:avLst/>
                    </a:prstGeom>
                  </pic:spPr>
                </pic:pic>
              </a:graphicData>
            </a:graphic>
          </wp:inline>
        </w:drawing>
      </w:r>
    </w:p>
    <w:p>
      <w:pPr>
        <w:pStyle w:val="241"/>
        <w:numPr>
          <w:ilvl w:val="0"/>
          <w:numId w:val="0"/>
        </w:numPr>
        <w:tabs>
          <w:tab w:val="left" w:pos="360"/>
        </w:tabs>
        <w:spacing w:before="120" w:after="120"/>
        <w:rPr>
          <w:szCs w:val="22"/>
        </w:rPr>
      </w:pPr>
      <w:r>
        <w:rPr>
          <w:rFonts w:hint="eastAsia"/>
        </w:rPr>
        <w:t>图</w:t>
      </w:r>
      <w:r>
        <w:t xml:space="preserve">C.1  </w:t>
      </w:r>
      <w:r>
        <w:rPr>
          <w:rFonts w:hint="eastAsia"/>
        </w:rPr>
        <w:t>组件层压示意图</w:t>
      </w:r>
    </w:p>
    <w:p>
      <w:pPr>
        <w:pStyle w:val="60"/>
        <w:ind w:firstLine="0" w:firstLineChars="0"/>
        <w:jc w:val="center"/>
      </w:pPr>
      <w:r>
        <w:rPr>
          <w:rFonts w:hint="eastAsia"/>
        </w:rPr>
        <w:drawing>
          <wp:inline distT="0" distB="0" distL="0" distR="0">
            <wp:extent cx="1485900" cy="317500"/>
            <wp:effectExtent l="0" t="0" r="0" b="6350"/>
            <wp:docPr id="53" name="图片 53"/>
            <wp:cNvGraphicFramePr/>
            <a:graphic xmlns:a="http://schemas.openxmlformats.org/drawingml/2006/main">
              <a:graphicData uri="http://schemas.openxmlformats.org/drawingml/2006/picture">
                <pic:pic xmlns:pic="http://schemas.openxmlformats.org/drawingml/2006/picture">
                  <pic:nvPicPr>
                    <pic:cNvPr id="53" name="图片 53"/>
                    <pic:cNvPicPr/>
                  </pic:nvPicPr>
                  <pic:blipFill>
                    <a:blip r:embed="rId46">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p>
    <w:bookmarkEnd w:id="131"/>
    <w:bookmarkEnd w:id="133"/>
    <w:p>
      <w:pPr>
        <w:pStyle w:val="60"/>
        <w:ind w:firstLine="0" w:firstLineChars="0"/>
        <w:rPr>
          <w:rFonts w:hAnsi="宋体"/>
        </w:rPr>
      </w:pPr>
    </w:p>
    <w:sectPr>
      <w:pgSz w:w="11906" w:h="16838"/>
      <w:pgMar w:top="567" w:right="1134" w:bottom="1134" w:left="1134" w:header="1418" w:footer="1134" w:gutter="284"/>
      <w:pgNumType w:fmt="decimal"/>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Arial-BoldMT">
    <w:altName w:val="Arial"/>
    <w:panose1 w:val="00000000000000000000"/>
    <w:charset w:val="00"/>
    <w:family w:val="swiss"/>
    <w:pitch w:val="default"/>
    <w:sig w:usb0="00000000" w:usb1="00000000" w:usb2="00000000" w:usb3="00000000" w:csb0="00000001"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left="227"/>
      <w:jc w:val="left"/>
    </w:pPr>
    <w:r>
      <w:t>12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6"/>
    </w:pPr>
    <w:r>
      <w:rPr>
        <w:sz w:val="1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oMpEzAgAAYw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JoMpEzAgAAYwQAAA4AAAAAAAAAAQAgAAAAHwEAAGRycy9lMm9Eb2MueG1sUEsF&#10;BgAAAAAGAAYAWQEAAMQFAAAAAA==&#10;">
              <v:fill on="f" focussize="0,0"/>
              <v:stroke on="f" weight="0.5pt"/>
              <v:imagedata o:title=""/>
              <o:lock v:ext="edit" aspectratio="f"/>
              <v:textbox inset="0mm,0mm,0mm,0mm" style="mso-fit-shape-to-text:t;">
                <w:txbxContent>
                  <w:p>
                    <w:pPr>
                      <w:pStyle w:val="1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left="0"/>
      <w:jc w:val="left"/>
    </w:pPr>
    <w:r>
      <w:rPr>
        <w:sz w:val="18"/>
      </w:rP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WW+3o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WW+3ozAgAAYwQAAA4AAAAAAAAAAQAgAAAAHwEAAGRycy9lMm9Eb2MueG1sUEsF&#10;BgAAAAAGAAYAWQEAAMQFAAAAAA==&#10;">
              <v:fill on="f" focussize="0,0"/>
              <v:stroke on="f" weight="0.5pt"/>
              <v:imagedata o:title=""/>
              <o:lock v:ext="edit" aspectratio="f"/>
              <v:textbox inset="0mm,0mm,0mm,0mm" style="mso-fit-shape-to-text:t;">
                <w:txbxContent>
                  <w:p>
                    <w:pPr>
                      <w:pStyle w:val="1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6"/>
    </w:pPr>
    <w:r>
      <w:rPr>
        <w:sz w:val="1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pPr>
                      <w:pStyle w:val="56"/>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left="0"/>
      <w:jc w:val="left"/>
    </w:pPr>
    <w:r>
      <w:rPr>
        <w:sz w:val="18"/>
      </w:rPr>
      <mc:AlternateContent>
        <mc:Choice Requires="wps">
          <w:drawing>
            <wp:anchor distT="0" distB="0" distL="114300" distR="114300" simplePos="0" relativeHeight="251663360" behindDoc="0" locked="0" layoutInCell="1" allowOverlap="1">
              <wp:simplePos x="0" y="0"/>
              <wp:positionH relativeFrom="margin">
                <wp:align>outside</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8"/>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bJUzAgAAYw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kzf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bJUzAgAAYwQAAA4AAAAAAAAAAQAgAAAAHwEAAGRycy9lMm9Eb2MueG1sUEsF&#10;BgAAAAAGAAYAWQEAAMQFAAAAAA==&#10;">
              <v:fill on="f" focussize="0,0"/>
              <v:stroke on="f" weight="0.5pt"/>
              <v:imagedata o:title=""/>
              <o:lock v:ext="edit" aspectratio="f"/>
              <v:textbox inset="0mm,0mm,0mm,0mm" style="mso-fit-shape-to-text:t;">
                <w:txbxContent>
                  <w:p>
                    <w:pPr>
                      <w:pStyle w:val="18"/>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r>
      <w:rPr>
        <w:sz w:val="18"/>
      </w:rPr>
      <mc:AlternateContent>
        <mc:Choice Requires="wps">
          <w:drawing>
            <wp:anchor distT="0" distB="0" distL="114300" distR="114300" simplePos="0" relativeHeight="251664384" behindDoc="0" locked="0" layoutInCell="1" allowOverlap="1">
              <wp:simplePos x="0" y="0"/>
              <wp:positionH relativeFrom="margin">
                <wp:align>outside</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8"/>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GXY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GXYzAgAAYwQAAA4AAAAAAAAAAQAgAAAAHwEAAGRycy9lMm9Eb2MueG1sUEsF&#10;BgAAAAAGAAYAWQEAAMQFAAAAAA==&#10;">
              <v:fill on="f" focussize="0,0"/>
              <v:stroke on="f" weight="0.5pt"/>
              <v:imagedata o:title=""/>
              <o:lock v:ext="edit" aspectratio="f"/>
              <v:textbox inset="0mm,0mm,0mm,0mm" style="mso-fit-shape-to-text:t;">
                <w:txbxContent>
                  <w:p>
                    <w:pPr>
                      <w:pStyle w:val="18"/>
                    </w:pPr>
                    <w:r>
                      <w:fldChar w:fldCharType="begin"/>
                    </w:r>
                    <w:r>
                      <w:instrText xml:space="preserve"> PAGE  \* MERGEFORMAT </w:instrText>
                    </w:r>
                    <w:r>
                      <w:fldChar w:fldCharType="separate"/>
                    </w:r>
                    <w:r>
                      <w:t>3</w:t>
                    </w:r>
                    <w:r>
                      <w:fldChar w:fldCharType="end"/>
                    </w:r>
                  </w:p>
                </w:txbxContent>
              </v:textbox>
            </v:shape>
          </w:pict>
        </mc:Fallback>
      </mc:AlternateContent>
    </w:r>
  </w:p>
  <w:p>
    <w:pPr>
      <w:pStyle w:val="56"/>
      <w:ind w:right="407"/>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r>
      <w:rPr>
        <w:sz w:val="18"/>
      </w:rPr>
      <mc:AlternateContent>
        <mc:Choice Requires="wps">
          <w:drawing>
            <wp:anchor distT="0" distB="0" distL="114300" distR="114300" simplePos="0" relativeHeight="251665408" behindDoc="0" locked="0" layoutInCell="1" allowOverlap="1">
              <wp:simplePos x="0" y="0"/>
              <wp:positionH relativeFrom="margin">
                <wp:align>outside</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8"/>
                            <w:keepNext w:val="0"/>
                            <w:keepLines w:val="0"/>
                            <w:pageBreakBefore w:val="0"/>
                            <w:widowControl w:val="0"/>
                            <w:kinsoku/>
                            <w:wordWrap/>
                            <w:overflowPunct/>
                            <w:topLinePunct w:val="0"/>
                            <w:bidi w:val="0"/>
                            <w:adjustRightInd/>
                            <w:snapToGrid w:val="0"/>
                            <w:ind w:right="227"/>
                            <w:textAlignment w:val="auto"/>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pPr>
                      <w:pStyle w:val="18"/>
                      <w:keepNext w:val="0"/>
                      <w:keepLines w:val="0"/>
                      <w:pageBreakBefore w:val="0"/>
                      <w:widowControl w:val="0"/>
                      <w:kinsoku/>
                      <w:wordWrap/>
                      <w:overflowPunct/>
                      <w:topLinePunct w:val="0"/>
                      <w:bidi w:val="0"/>
                      <w:adjustRightInd/>
                      <w:snapToGrid w:val="0"/>
                      <w:ind w:right="227"/>
                      <w:textAlignment w:val="auto"/>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left="0"/>
      <w:jc w:val="left"/>
    </w:pPr>
    <w:r>
      <w:rPr>
        <w:sz w:val="18"/>
      </w:rPr>
      <mc:AlternateContent>
        <mc:Choice Requires="wps">
          <w:drawing>
            <wp:anchor distT="0" distB="0" distL="114300" distR="114300" simplePos="0" relativeHeight="251666432" behindDoc="0" locked="0" layoutInCell="1" allowOverlap="1">
              <wp:simplePos x="0" y="0"/>
              <wp:positionH relativeFrom="margin">
                <wp:align>outside</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8"/>
                            <w:keepNext w:val="0"/>
                            <w:keepLines w:val="0"/>
                            <w:pageBreakBefore w:val="0"/>
                            <w:widowControl w:val="0"/>
                            <w:kinsoku/>
                            <w:wordWrap/>
                            <w:overflowPunct/>
                            <w:topLinePunct w:val="0"/>
                            <w:bidi w:val="0"/>
                            <w:adjustRightInd/>
                            <w:snapToGrid w:val="0"/>
                            <w:ind w:left="227"/>
                            <w:textAlignment w:val="auto"/>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7R3IzAgAAYw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m/e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7R3IzAgAAYwQAAA4AAAAAAAAAAQAgAAAAHwEAAGRycy9lMm9Eb2MueG1sUEsF&#10;BgAAAAAGAAYAWQEAAMQFAAAAAA==&#10;">
              <v:fill on="f" focussize="0,0"/>
              <v:stroke on="f" weight="0.5pt"/>
              <v:imagedata o:title=""/>
              <o:lock v:ext="edit" aspectratio="f"/>
              <v:textbox inset="0mm,0mm,0mm,0mm" style="mso-fit-shape-to-text:t;">
                <w:txbxContent>
                  <w:p>
                    <w:pPr>
                      <w:pStyle w:val="18"/>
                      <w:keepNext w:val="0"/>
                      <w:keepLines w:val="0"/>
                      <w:pageBreakBefore w:val="0"/>
                      <w:widowControl w:val="0"/>
                      <w:kinsoku/>
                      <w:wordWrap/>
                      <w:overflowPunct/>
                      <w:topLinePunct w:val="0"/>
                      <w:bidi w:val="0"/>
                      <w:adjustRightInd/>
                      <w:snapToGrid w:val="0"/>
                      <w:ind w:left="227"/>
                      <w:textAlignment w:val="auto"/>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keepNext w:val="0"/>
      <w:keepLines w:val="0"/>
      <w:pageBreakBefore w:val="0"/>
      <w:widowControl w:val="0"/>
      <w:kinsoku/>
      <w:wordWrap w:val="0"/>
      <w:overflowPunct/>
      <w:topLinePunct w:val="0"/>
      <w:bidi w:val="0"/>
      <w:adjustRightInd/>
      <w:snapToGrid w:val="0"/>
      <w:spacing w:after="283" w:line="240" w:lineRule="auto"/>
      <w:jc w:val="right"/>
      <w:textAlignment w:val="auto"/>
      <w:rPr>
        <w:rFonts w:ascii="黑体" w:hAnsi="黑体" w:eastAsia="黑体"/>
      </w:rPr>
    </w:pPr>
    <w:r>
      <w:rPr>
        <w:rFonts w:ascii="黑体" w:hAnsi="黑体" w:eastAsia="黑体"/>
      </w:rPr>
      <w:t>T/CPIA</w:t>
    </w:r>
    <w:r>
      <w:rPr>
        <w:rFonts w:hint="eastAsia" w:ascii="黑体" w:hAnsi="黑体" w:eastAsia="黑体"/>
      </w:rPr>
      <w:t xml:space="preserve"> </w:t>
    </w:r>
    <w:r>
      <w:rPr>
        <w:rFonts w:ascii="黑体" w:hAnsi="黑体" w:eastAsia="黑体"/>
      </w:rPr>
      <w:t>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keepNext w:val="0"/>
      <w:keepLines w:val="0"/>
      <w:pageBreakBefore w:val="0"/>
      <w:widowControl w:val="0"/>
      <w:kinsoku/>
      <w:wordWrap/>
      <w:overflowPunct/>
      <w:topLinePunct w:val="0"/>
      <w:bidi w:val="0"/>
      <w:adjustRightInd/>
      <w:snapToGrid w:val="0"/>
      <w:spacing w:after="283" w:line="240" w:lineRule="auto"/>
      <w:jc w:val="left"/>
      <w:textAlignment w:val="auto"/>
    </w:pPr>
    <w:r>
      <w:rPr>
        <w:rFonts w:ascii="黑体" w:hAnsi="黑体" w:eastAsia="黑体"/>
      </w:rPr>
      <w:t>T/CPIA</w:t>
    </w:r>
    <w:r>
      <w:rPr>
        <w:rFonts w:hint="eastAsia" w:ascii="黑体" w:hAnsi="黑体" w:eastAsia="黑体"/>
      </w:rPr>
      <w:t xml:space="preserve"> </w:t>
    </w:r>
    <w:r>
      <w:rPr>
        <w:rFonts w:ascii="黑体" w:hAnsi="黑体" w:eastAsia="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both"/>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8"/>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3"/>
      <w:suff w:val="nothing"/>
      <w:lvlText w:val="%1%2.%3　"/>
      <w:lvlJc w:val="left"/>
      <w:pPr>
        <w:ind w:left="0" w:firstLine="0"/>
      </w:pPr>
    </w:lvl>
    <w:lvl w:ilvl="3" w:tentative="0">
      <w:start w:val="1"/>
      <w:numFmt w:val="decimal"/>
      <w:pStyle w:val="122"/>
      <w:suff w:val="nothing"/>
      <w:lvlText w:val="%1%2.%3.%4　"/>
      <w:lvlJc w:val="left"/>
      <w:pPr>
        <w:ind w:left="0" w:firstLine="0"/>
      </w:pPr>
    </w:lvl>
    <w:lvl w:ilvl="4" w:tentative="0">
      <w:start w:val="1"/>
      <w:numFmt w:val="decimal"/>
      <w:pStyle w:val="157"/>
      <w:suff w:val="nothing"/>
      <w:lvlText w:val="%1%2.%3.%4.%5　"/>
      <w:lvlJc w:val="left"/>
      <w:pPr>
        <w:ind w:left="0" w:firstLine="0"/>
      </w:pPr>
    </w:lvl>
    <w:lvl w:ilvl="5" w:tentative="0">
      <w:start w:val="1"/>
      <w:numFmt w:val="decimal"/>
      <w:pStyle w:val="159"/>
      <w:suff w:val="nothing"/>
      <w:lvlText w:val="%1%2.%3.%4.%5.%6　"/>
      <w:lvlJc w:val="left"/>
      <w:pPr>
        <w:ind w:left="0" w:firstLine="0"/>
      </w:pPr>
    </w:lvl>
    <w:lvl w:ilvl="6" w:tentative="0">
      <w:start w:val="1"/>
      <w:numFmt w:val="decimal"/>
      <w:pStyle w:val="162"/>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4"/>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3"/>
      <w:lvlText w:val="%1"/>
      <w:lvlJc w:val="left"/>
      <w:pPr>
        <w:ind w:left="425" w:hanging="425"/>
      </w:pPr>
      <w:rPr>
        <w:rFonts w:hint="eastAsia"/>
      </w:rPr>
    </w:lvl>
    <w:lvl w:ilvl="1" w:tentative="0">
      <w:start w:val="1"/>
      <w:numFmt w:val="decimal"/>
      <w:pStyle w:val="204"/>
      <w:suff w:val="nothing"/>
      <w:lvlText w:val="%10.%2 "/>
      <w:lvlJc w:val="left"/>
      <w:pPr>
        <w:ind w:left="0" w:firstLine="0"/>
      </w:pPr>
      <w:rPr>
        <w:rFonts w:hint="eastAsia" w:ascii="黑体" w:eastAsia="黑体" w:hAnsiTheme="minorHAnsi"/>
        <w:b w:val="0"/>
        <w:i w:val="0"/>
        <w:sz w:val="21"/>
      </w:rPr>
    </w:lvl>
    <w:lvl w:ilvl="2" w:tentative="0">
      <w:start w:val="1"/>
      <w:numFmt w:val="decimal"/>
      <w:pStyle w:val="205"/>
      <w:suff w:val="nothing"/>
      <w:lvlText w:val="%10.%2.%3 "/>
      <w:lvlJc w:val="left"/>
      <w:pPr>
        <w:ind w:left="0" w:firstLine="0"/>
      </w:pPr>
      <w:rPr>
        <w:rFonts w:hint="eastAsia" w:ascii="黑体" w:eastAsia="黑体" w:hAnsiTheme="minorHAnsi"/>
        <w:b w:val="0"/>
        <w:i w:val="0"/>
        <w:sz w:val="21"/>
      </w:rPr>
    </w:lvl>
    <w:lvl w:ilvl="3" w:tentative="0">
      <w:start w:val="1"/>
      <w:numFmt w:val="decimal"/>
      <w:pStyle w:val="206"/>
      <w:suff w:val="nothing"/>
      <w:lvlText w:val="%10.%2.%3.%4 "/>
      <w:lvlJc w:val="left"/>
      <w:pPr>
        <w:ind w:left="0" w:firstLine="0"/>
      </w:pPr>
      <w:rPr>
        <w:rFonts w:hint="eastAsia" w:ascii="黑体" w:eastAsia="黑体" w:hAnsiTheme="minorHAnsi"/>
        <w:b w:val="0"/>
        <w:i w:val="0"/>
        <w:sz w:val="21"/>
      </w:rPr>
    </w:lvl>
    <w:lvl w:ilvl="4" w:tentative="0">
      <w:start w:val="1"/>
      <w:numFmt w:val="decimal"/>
      <w:pStyle w:val="207"/>
      <w:suff w:val="nothing"/>
      <w:lvlText w:val="%10.%2.%3.%4.%5 "/>
      <w:lvlJc w:val="left"/>
      <w:pPr>
        <w:ind w:left="0" w:firstLine="0"/>
      </w:pPr>
      <w:rPr>
        <w:rFonts w:hint="eastAsia" w:ascii="黑体" w:eastAsia="黑体" w:hAnsiTheme="minorHAnsi"/>
        <w:b w:val="0"/>
        <w:i w:val="0"/>
        <w:sz w:val="21"/>
      </w:rPr>
    </w:lvl>
    <w:lvl w:ilvl="5" w:tentative="0">
      <w:start w:val="1"/>
      <w:numFmt w:val="decimal"/>
      <w:pStyle w:val="208"/>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5"/>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71"/>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3"/>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0D983844"/>
    <w:multiLevelType w:val="multilevel"/>
    <w:tmpl w:val="0D983844"/>
    <w:lvl w:ilvl="0" w:tentative="0">
      <w:start w:val="1"/>
      <w:numFmt w:val="decimal"/>
      <w:pStyle w:val="241"/>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8">
    <w:nsid w:val="1AD20F90"/>
    <w:multiLevelType w:val="multilevel"/>
    <w:tmpl w:val="1AD20F90"/>
    <w:lvl w:ilvl="0" w:tentative="0">
      <w:start w:val="1"/>
      <w:numFmt w:val="none"/>
      <w:pStyle w:val="114"/>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1AF15012"/>
    <w:multiLevelType w:val="multilevel"/>
    <w:tmpl w:val="1AF15012"/>
    <w:lvl w:ilvl="0" w:tentative="0">
      <w:start w:val="1"/>
      <w:numFmt w:val="upperLetter"/>
      <w:pStyle w:val="89"/>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0">
    <w:nsid w:val="1EAA1992"/>
    <w:multiLevelType w:val="multilevel"/>
    <w:tmpl w:val="1EAA1992"/>
    <w:lvl w:ilvl="0" w:tentative="0">
      <w:start w:val="1"/>
      <w:numFmt w:val="none"/>
      <w:pStyle w:val="96"/>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1">
    <w:nsid w:val="21560FAD"/>
    <w:multiLevelType w:val="multilevel"/>
    <w:tmpl w:val="21560FAD"/>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2C5917C3"/>
    <w:multiLevelType w:val="multilevel"/>
    <w:tmpl w:val="2C5917C3"/>
    <w:lvl w:ilvl="0" w:tentative="0">
      <w:start w:val="1"/>
      <w:numFmt w:val="none"/>
      <w:pStyle w:val="136"/>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91"/>
      <w:lvlText w:val=""/>
      <w:lvlJc w:val="left"/>
      <w:pPr>
        <w:ind w:left="851" w:hanging="431"/>
      </w:pPr>
      <w:rPr>
        <w:rFonts w:hint="default" w:ascii="Symbol" w:hAnsi="Symbol"/>
        <w:sz w:val="21"/>
      </w:rPr>
    </w:lvl>
    <w:lvl w:ilvl="2" w:tentative="0">
      <w:start w:val="1"/>
      <w:numFmt w:val="bullet"/>
      <w:pStyle w:val="176"/>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3">
    <w:nsid w:val="32F04FB2"/>
    <w:multiLevelType w:val="multilevel"/>
    <w:tmpl w:val="32F04FB2"/>
    <w:lvl w:ilvl="0" w:tentative="0">
      <w:start w:val="1"/>
      <w:numFmt w:val="lowerLetter"/>
      <w:pStyle w:val="105"/>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4">
    <w:nsid w:val="44C50F90"/>
    <w:multiLevelType w:val="multilevel"/>
    <w:tmpl w:val="44C50F90"/>
    <w:lvl w:ilvl="0" w:tentative="0">
      <w:start w:val="1"/>
      <w:numFmt w:val="lowerLetter"/>
      <w:pStyle w:val="178"/>
      <w:lvlText w:val="%1)"/>
      <w:lvlJc w:val="left"/>
      <w:pPr>
        <w:tabs>
          <w:tab w:val="left" w:pos="851"/>
        </w:tabs>
        <w:ind w:left="851" w:hanging="426"/>
      </w:pPr>
      <w:rPr>
        <w:rFonts w:hint="eastAsia" w:ascii="宋体" w:hAnsi="Times New Roman" w:eastAsia="宋体"/>
        <w:sz w:val="21"/>
      </w:rPr>
    </w:lvl>
    <w:lvl w:ilvl="1" w:tentative="0">
      <w:start w:val="1"/>
      <w:numFmt w:val="decimal"/>
      <w:pStyle w:val="113"/>
      <w:lvlText w:val="%2)"/>
      <w:lvlJc w:val="left"/>
      <w:pPr>
        <w:tabs>
          <w:tab w:val="left" w:pos="1276"/>
        </w:tabs>
        <w:ind w:left="1276" w:hanging="425"/>
      </w:pPr>
      <w:rPr>
        <w:rFonts w:hint="eastAsia" w:ascii="宋体" w:hAnsi="Times New Roman" w:eastAsia="宋体"/>
        <w:sz w:val="21"/>
      </w:rPr>
    </w:lvl>
    <w:lvl w:ilvl="2" w:tentative="0">
      <w:start w:val="1"/>
      <w:numFmt w:val="decimal"/>
      <w:pStyle w:val="121"/>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5">
    <w:nsid w:val="48802D1C"/>
    <w:multiLevelType w:val="multilevel"/>
    <w:tmpl w:val="48802D1C"/>
    <w:lvl w:ilvl="0" w:tentative="0">
      <w:start w:val="1"/>
      <w:numFmt w:val="upperLetter"/>
      <w:pStyle w:val="202"/>
      <w:lvlText w:val="%1"/>
      <w:lvlJc w:val="left"/>
      <w:pPr>
        <w:ind w:left="420" w:hanging="420"/>
      </w:pPr>
      <w:rPr>
        <w:rFonts w:hint="eastAsia"/>
      </w:rPr>
    </w:lvl>
    <w:lvl w:ilvl="1" w:tentative="0">
      <w:start w:val="1"/>
      <w:numFmt w:val="decimal"/>
      <w:pStyle w:val="87"/>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6">
    <w:nsid w:val="4B733A5F"/>
    <w:multiLevelType w:val="multilevel"/>
    <w:tmpl w:val="4B733A5F"/>
    <w:lvl w:ilvl="0" w:tentative="0">
      <w:start w:val="1"/>
      <w:numFmt w:val="decimal"/>
      <w:pStyle w:val="187"/>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7">
    <w:nsid w:val="4E5D0534"/>
    <w:multiLevelType w:val="multilevel"/>
    <w:tmpl w:val="4E5D0534"/>
    <w:lvl w:ilvl="0" w:tentative="0">
      <w:start w:val="1"/>
      <w:numFmt w:val="decimal"/>
      <w:pStyle w:val="120"/>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4632751"/>
    <w:multiLevelType w:val="multilevel"/>
    <w:tmpl w:val="54632751"/>
    <w:lvl w:ilvl="0" w:tentative="0">
      <w:start w:val="1"/>
      <w:numFmt w:val="none"/>
      <w:pStyle w:val="97"/>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9">
    <w:nsid w:val="557C2AF5"/>
    <w:multiLevelType w:val="multilevel"/>
    <w:tmpl w:val="557C2AF5"/>
    <w:lvl w:ilvl="0" w:tentative="0">
      <w:start w:val="1"/>
      <w:numFmt w:val="decimal"/>
      <w:pStyle w:val="118"/>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20">
    <w:nsid w:val="5603797C"/>
    <w:multiLevelType w:val="multilevel"/>
    <w:tmpl w:val="5603797C"/>
    <w:lvl w:ilvl="0" w:tentative="0">
      <w:start w:val="1"/>
      <w:numFmt w:val="upperLetter"/>
      <w:pStyle w:val="203"/>
      <w:suff w:val="space"/>
      <w:lvlText w:val="%1"/>
      <w:lvlJc w:val="left"/>
      <w:pPr>
        <w:ind w:left="425" w:hanging="425"/>
      </w:pPr>
      <w:rPr>
        <w:rFonts w:hint="eastAsia"/>
      </w:rPr>
    </w:lvl>
    <w:lvl w:ilvl="1" w:tentative="0">
      <w:start w:val="1"/>
      <w:numFmt w:val="decimal"/>
      <w:pStyle w:val="81"/>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1">
    <w:nsid w:val="564D2089"/>
    <w:multiLevelType w:val="multilevel"/>
    <w:tmpl w:val="564D2089"/>
    <w:lvl w:ilvl="0" w:tentative="0">
      <w:start w:val="1"/>
      <w:numFmt w:val="none"/>
      <w:pStyle w:val="115"/>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2">
    <w:nsid w:val="644622F9"/>
    <w:multiLevelType w:val="multilevel"/>
    <w:tmpl w:val="644622F9"/>
    <w:lvl w:ilvl="0" w:tentative="0">
      <w:start w:val="1"/>
      <w:numFmt w:val="upperRoman"/>
      <w:pStyle w:val="172"/>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3">
    <w:nsid w:val="646260FA"/>
    <w:multiLevelType w:val="multilevel"/>
    <w:tmpl w:val="646260FA"/>
    <w:lvl w:ilvl="0" w:tentative="0">
      <w:start w:val="1"/>
      <w:numFmt w:val="decimal"/>
      <w:pStyle w:val="116"/>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4">
    <w:nsid w:val="654A26C9"/>
    <w:multiLevelType w:val="multilevel"/>
    <w:tmpl w:val="654A26C9"/>
    <w:lvl w:ilvl="0" w:tentative="0">
      <w:start w:val="1"/>
      <w:numFmt w:val="none"/>
      <w:pStyle w:val="193"/>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5">
    <w:nsid w:val="657D3FBC"/>
    <w:multiLevelType w:val="multilevel"/>
    <w:tmpl w:val="657D3FBC"/>
    <w:lvl w:ilvl="0" w:tentative="0">
      <w:start w:val="1"/>
      <w:numFmt w:val="upperLetter"/>
      <w:suff w:val="nothing"/>
      <w:lvlText w:val="附录%1"/>
      <w:lvlJc w:val="left"/>
      <w:pPr>
        <w:ind w:left="0" w:firstLine="0"/>
      </w:pPr>
      <w:rPr>
        <w:rFonts w:hint="eastAsia"/>
        <w:spacing w:val="100"/>
      </w:rPr>
    </w:lvl>
    <w:lvl w:ilvl="1" w:tentative="0">
      <w:start w:val="1"/>
      <w:numFmt w:val="decimal"/>
      <w:pStyle w:val="82"/>
      <w:suff w:val="nothing"/>
      <w:lvlText w:val="%1.%2　"/>
      <w:lvlJc w:val="left"/>
      <w:pPr>
        <w:ind w:left="0" w:firstLine="0"/>
      </w:pPr>
      <w:rPr>
        <w:rFonts w:hint="eastAsia" w:ascii="黑体" w:eastAsia="黑体"/>
        <w:b w:val="0"/>
        <w:i w:val="0"/>
        <w:sz w:val="21"/>
      </w:rPr>
    </w:lvl>
    <w:lvl w:ilvl="2" w:tentative="0">
      <w:start w:val="1"/>
      <w:numFmt w:val="decimal"/>
      <w:pStyle w:val="83"/>
      <w:suff w:val="nothing"/>
      <w:lvlText w:val="%1.%2.%3　"/>
      <w:lvlJc w:val="left"/>
      <w:pPr>
        <w:ind w:left="0" w:firstLine="0"/>
      </w:pPr>
      <w:rPr>
        <w:rFonts w:hint="eastAsia" w:ascii="黑体" w:eastAsia="黑体"/>
        <w:b w:val="0"/>
        <w:i w:val="0"/>
        <w:sz w:val="21"/>
      </w:rPr>
    </w:lvl>
    <w:lvl w:ilvl="3" w:tentative="0">
      <w:start w:val="1"/>
      <w:numFmt w:val="decimal"/>
      <w:pStyle w:val="85"/>
      <w:suff w:val="nothing"/>
      <w:lvlText w:val="%1.%2.%3.%4　"/>
      <w:lvlJc w:val="left"/>
      <w:pPr>
        <w:ind w:left="0" w:firstLine="0"/>
      </w:pPr>
      <w:rPr>
        <w:rFonts w:hint="eastAsia" w:ascii="黑体" w:eastAsia="黑体"/>
        <w:b w:val="0"/>
        <w:i w:val="0"/>
        <w:sz w:val="21"/>
      </w:rPr>
    </w:lvl>
    <w:lvl w:ilvl="4" w:tentative="0">
      <w:start w:val="1"/>
      <w:numFmt w:val="decimal"/>
      <w:pStyle w:val="86"/>
      <w:suff w:val="nothing"/>
      <w:lvlText w:val="%1.%2.%3.%4.%5　"/>
      <w:lvlJc w:val="left"/>
      <w:pPr>
        <w:ind w:left="0" w:firstLine="0"/>
      </w:pPr>
      <w:rPr>
        <w:rFonts w:hint="eastAsia" w:ascii="黑体" w:eastAsia="黑体"/>
        <w:b w:val="0"/>
        <w:i w:val="0"/>
        <w:sz w:val="21"/>
      </w:rPr>
    </w:lvl>
    <w:lvl w:ilvl="5" w:tentative="0">
      <w:start w:val="1"/>
      <w:numFmt w:val="decimal"/>
      <w:pStyle w:val="88"/>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6">
    <w:nsid w:val="69506ABF"/>
    <w:multiLevelType w:val="multilevel"/>
    <w:tmpl w:val="69506ABF"/>
    <w:lvl w:ilvl="0" w:tentative="0">
      <w:start w:val="1"/>
      <w:numFmt w:val="bullet"/>
      <w:pStyle w:val="192"/>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7">
    <w:nsid w:val="6CA41985"/>
    <w:multiLevelType w:val="multilevel"/>
    <w:tmpl w:val="6CA41985"/>
    <w:lvl w:ilvl="0" w:tentative="0">
      <w:start w:val="1"/>
      <w:numFmt w:val="decimal"/>
      <w:pStyle w:val="101"/>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8">
    <w:nsid w:val="6CE42AC1"/>
    <w:multiLevelType w:val="multilevel"/>
    <w:tmpl w:val="6CE42AC1"/>
    <w:lvl w:ilvl="0" w:tentative="0">
      <w:start w:val="1"/>
      <w:numFmt w:val="lowerLetter"/>
      <w:pStyle w:val="177"/>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6CEA2025"/>
    <w:multiLevelType w:val="multilevel"/>
    <w:tmpl w:val="6CEA2025"/>
    <w:lvl w:ilvl="0" w:tentative="0">
      <w:start w:val="1"/>
      <w:numFmt w:val="none"/>
      <w:pStyle w:val="156"/>
      <w:suff w:val="nothing"/>
      <w:lvlText w:val="%1"/>
      <w:lvlJc w:val="left"/>
      <w:pPr>
        <w:ind w:left="0" w:firstLine="0"/>
      </w:pPr>
      <w:rPr>
        <w:rFonts w:hint="eastAsia"/>
      </w:rPr>
    </w:lvl>
    <w:lvl w:ilvl="1" w:tentative="0">
      <w:start w:val="1"/>
      <w:numFmt w:val="decimal"/>
      <w:pStyle w:val="108"/>
      <w:suff w:val="nothing"/>
      <w:lvlText w:val="%1%2　"/>
      <w:lvlJc w:val="left"/>
      <w:pPr>
        <w:ind w:left="2836" w:firstLine="0"/>
      </w:pPr>
      <w:rPr>
        <w:rFonts w:hint="eastAsia" w:ascii="黑体" w:eastAsia="黑体"/>
        <w:b w:val="0"/>
        <w:i w:val="0"/>
        <w:sz w:val="21"/>
      </w:rPr>
    </w:lvl>
    <w:lvl w:ilvl="2" w:tentative="0">
      <w:start w:val="1"/>
      <w:numFmt w:val="decimal"/>
      <w:pStyle w:val="109"/>
      <w:suff w:val="nothing"/>
      <w:lvlText w:val="%1%2.%3　"/>
      <w:lvlJc w:val="left"/>
      <w:pPr>
        <w:ind w:left="283"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9"/>
      <w:suff w:val="nothing"/>
      <w:lvlText w:val="%1%2.%3.%4　"/>
      <w:lvlJc w:val="left"/>
      <w:pPr>
        <w:ind w:left="567" w:firstLine="0"/>
      </w:pPr>
      <w:rPr>
        <w:rFonts w:hint="eastAsia" w:ascii="黑体" w:eastAsia="黑体"/>
        <w:b w:val="0"/>
        <w:i w:val="0"/>
        <w:sz w:val="21"/>
      </w:rPr>
    </w:lvl>
    <w:lvl w:ilvl="4" w:tentative="0">
      <w:start w:val="1"/>
      <w:numFmt w:val="decimal"/>
      <w:pStyle w:val="98"/>
      <w:suff w:val="nothing"/>
      <w:lvlText w:val="%1%2.%3.%4.%5　"/>
      <w:lvlJc w:val="left"/>
      <w:pPr>
        <w:ind w:left="3402" w:firstLine="0"/>
      </w:pPr>
      <w:rPr>
        <w:rFonts w:hint="eastAsia" w:ascii="黑体" w:eastAsia="黑体"/>
        <w:b w:val="0"/>
        <w:i w:val="0"/>
        <w:sz w:val="21"/>
      </w:rPr>
    </w:lvl>
    <w:lvl w:ilvl="5" w:tentative="0">
      <w:start w:val="1"/>
      <w:numFmt w:val="decimal"/>
      <w:pStyle w:val="102"/>
      <w:suff w:val="nothing"/>
      <w:lvlText w:val="%1%2.%3.%4.%5.%6　"/>
      <w:lvlJc w:val="left"/>
      <w:pPr>
        <w:ind w:left="0" w:firstLine="0"/>
      </w:pPr>
      <w:rPr>
        <w:rFonts w:hint="eastAsia" w:ascii="黑体" w:eastAsia="黑体"/>
        <w:b w:val="0"/>
        <w:i w:val="0"/>
        <w:sz w:val="21"/>
      </w:rPr>
    </w:lvl>
    <w:lvl w:ilvl="6" w:tentative="0">
      <w:start w:val="1"/>
      <w:numFmt w:val="decimal"/>
      <w:pStyle w:val="107"/>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0">
    <w:nsid w:val="6DBF04F4"/>
    <w:multiLevelType w:val="multilevel"/>
    <w:tmpl w:val="6DBF04F4"/>
    <w:lvl w:ilvl="0" w:tentative="0">
      <w:start w:val="1"/>
      <w:numFmt w:val="none"/>
      <w:pStyle w:val="183"/>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1">
    <w:nsid w:val="6DF35F19"/>
    <w:multiLevelType w:val="multilevel"/>
    <w:tmpl w:val="6DF35F19"/>
    <w:lvl w:ilvl="0" w:tentative="0">
      <w:start w:val="1"/>
      <w:numFmt w:val="decimal"/>
      <w:pStyle w:val="119"/>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2">
    <w:nsid w:val="716C18E7"/>
    <w:multiLevelType w:val="multilevel"/>
    <w:tmpl w:val="716C18E7"/>
    <w:lvl w:ilvl="0" w:tentative="0">
      <w:start w:val="1"/>
      <w:numFmt w:val="lowerLetter"/>
      <w:lvlText w:val="%1)"/>
      <w:lvlJc w:val="left"/>
      <w:pPr>
        <w:ind w:left="840" w:hanging="420"/>
      </w:pPr>
    </w:lvl>
    <w:lvl w:ilvl="1" w:tentative="0">
      <w:start w:val="1"/>
      <w:numFmt w:val="lowerLetter"/>
      <w:lvlText w:val="%2）"/>
      <w:lvlJc w:val="left"/>
      <w:pPr>
        <w:ind w:left="1200" w:hanging="360"/>
      </w:pPr>
      <w:rPr>
        <w:rFonts w:hint="default"/>
      </w:r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3">
    <w:nsid w:val="76933334"/>
    <w:multiLevelType w:val="multilevel"/>
    <w:tmpl w:val="76933334"/>
    <w:lvl w:ilvl="0" w:tentative="0">
      <w:start w:val="1"/>
      <w:numFmt w:val="none"/>
      <w:pStyle w:val="143"/>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9"/>
  </w:num>
  <w:num w:numId="3">
    <w:abstractNumId w:val="5"/>
  </w:num>
  <w:num w:numId="4">
    <w:abstractNumId w:val="20"/>
  </w:num>
  <w:num w:numId="5">
    <w:abstractNumId w:val="25"/>
  </w:num>
  <w:num w:numId="6">
    <w:abstractNumId w:val="15"/>
  </w:num>
  <w:num w:numId="7">
    <w:abstractNumId w:val="9"/>
  </w:num>
  <w:num w:numId="8">
    <w:abstractNumId w:val="3"/>
  </w:num>
  <w:num w:numId="9">
    <w:abstractNumId w:val="10"/>
  </w:num>
  <w:num w:numId="10">
    <w:abstractNumId w:val="18"/>
  </w:num>
  <w:num w:numId="11">
    <w:abstractNumId w:val="27"/>
  </w:num>
  <w:num w:numId="12">
    <w:abstractNumId w:val="13"/>
  </w:num>
  <w:num w:numId="13">
    <w:abstractNumId w:val="14"/>
  </w:num>
  <w:num w:numId="14">
    <w:abstractNumId w:val="8"/>
  </w:num>
  <w:num w:numId="15">
    <w:abstractNumId w:val="21"/>
  </w:num>
  <w:num w:numId="16">
    <w:abstractNumId w:val="23"/>
  </w:num>
  <w:num w:numId="17">
    <w:abstractNumId w:val="19"/>
  </w:num>
  <w:num w:numId="18">
    <w:abstractNumId w:val="31"/>
  </w:num>
  <w:num w:numId="19">
    <w:abstractNumId w:val="17"/>
  </w:num>
  <w:num w:numId="20">
    <w:abstractNumId w:val="1"/>
  </w:num>
  <w:num w:numId="21">
    <w:abstractNumId w:val="12"/>
  </w:num>
  <w:num w:numId="22">
    <w:abstractNumId w:val="33"/>
  </w:num>
  <w:num w:numId="23">
    <w:abstractNumId w:val="22"/>
  </w:num>
  <w:num w:numId="24">
    <w:abstractNumId w:val="6"/>
  </w:num>
  <w:num w:numId="25">
    <w:abstractNumId w:val="28"/>
  </w:num>
  <w:num w:numId="26">
    <w:abstractNumId w:val="30"/>
  </w:num>
  <w:num w:numId="27">
    <w:abstractNumId w:val="2"/>
  </w:num>
  <w:num w:numId="28">
    <w:abstractNumId w:val="4"/>
  </w:num>
  <w:num w:numId="29">
    <w:abstractNumId w:val="16"/>
  </w:num>
  <w:num w:numId="30">
    <w:abstractNumId w:val="26"/>
  </w:num>
  <w:num w:numId="31">
    <w:abstractNumId w:val="24"/>
  </w:num>
  <w:num w:numId="32">
    <w:abstractNumId w:val="7"/>
  </w:num>
  <w:num w:numId="33">
    <w:abstractNumId w:val="11"/>
  </w:num>
  <w:num w:numId="34">
    <w:abstractNumId w:val="32"/>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attachedTemplate r:id="rId1"/>
  <w:documentProtection w:edit="forms" w:enforcement="0"/>
  <w:defaultTabStop w:val="420"/>
  <w:evenAndOddHeaders w:val="1"/>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A1NGIyMWYwMTcwM2U3OTBjMDdkNzVkZThhZWI1NWIifQ=="/>
  </w:docVars>
  <w:rsids>
    <w:rsidRoot w:val="00453DEE"/>
    <w:rsid w:val="0000040A"/>
    <w:rsid w:val="00000A94"/>
    <w:rsid w:val="00001972"/>
    <w:rsid w:val="00001D9A"/>
    <w:rsid w:val="00004533"/>
    <w:rsid w:val="000060E2"/>
    <w:rsid w:val="000066DA"/>
    <w:rsid w:val="000075EA"/>
    <w:rsid w:val="00007B3A"/>
    <w:rsid w:val="000107E0"/>
    <w:rsid w:val="00011FDE"/>
    <w:rsid w:val="00012F00"/>
    <w:rsid w:val="00012FFD"/>
    <w:rsid w:val="00014162"/>
    <w:rsid w:val="00014340"/>
    <w:rsid w:val="000159FA"/>
    <w:rsid w:val="00016A9C"/>
    <w:rsid w:val="0002017A"/>
    <w:rsid w:val="00020DAD"/>
    <w:rsid w:val="00022184"/>
    <w:rsid w:val="00022762"/>
    <w:rsid w:val="000238E0"/>
    <w:rsid w:val="000249DB"/>
    <w:rsid w:val="0002595E"/>
    <w:rsid w:val="000303C3"/>
    <w:rsid w:val="0003063C"/>
    <w:rsid w:val="000331D3"/>
    <w:rsid w:val="000346A5"/>
    <w:rsid w:val="000359C3"/>
    <w:rsid w:val="00035A7D"/>
    <w:rsid w:val="000365ED"/>
    <w:rsid w:val="0004249A"/>
    <w:rsid w:val="00042D4B"/>
    <w:rsid w:val="00043282"/>
    <w:rsid w:val="00044286"/>
    <w:rsid w:val="00047F28"/>
    <w:rsid w:val="000503AA"/>
    <w:rsid w:val="000506A1"/>
    <w:rsid w:val="000515DD"/>
    <w:rsid w:val="0005265A"/>
    <w:rsid w:val="00052BD5"/>
    <w:rsid w:val="000539DD"/>
    <w:rsid w:val="00053BD3"/>
    <w:rsid w:val="00053EB7"/>
    <w:rsid w:val="00054A3C"/>
    <w:rsid w:val="000556ED"/>
    <w:rsid w:val="00055FE2"/>
    <w:rsid w:val="0005616F"/>
    <w:rsid w:val="00060C2E"/>
    <w:rsid w:val="00061033"/>
    <w:rsid w:val="000619E9"/>
    <w:rsid w:val="000622D4"/>
    <w:rsid w:val="0006357D"/>
    <w:rsid w:val="000672C5"/>
    <w:rsid w:val="00067F1E"/>
    <w:rsid w:val="00071CC0"/>
    <w:rsid w:val="00071CFC"/>
    <w:rsid w:val="00073C8C"/>
    <w:rsid w:val="00076CF6"/>
    <w:rsid w:val="00077B64"/>
    <w:rsid w:val="00080A1C"/>
    <w:rsid w:val="00082317"/>
    <w:rsid w:val="00083D2C"/>
    <w:rsid w:val="00086AA1"/>
    <w:rsid w:val="00087A77"/>
    <w:rsid w:val="00090CA6"/>
    <w:rsid w:val="00092B8A"/>
    <w:rsid w:val="00092FB0"/>
    <w:rsid w:val="00093131"/>
    <w:rsid w:val="000934C5"/>
    <w:rsid w:val="00093D25"/>
    <w:rsid w:val="00093DAB"/>
    <w:rsid w:val="00094D73"/>
    <w:rsid w:val="00096D63"/>
    <w:rsid w:val="00096DE3"/>
    <w:rsid w:val="00097624"/>
    <w:rsid w:val="000A0B60"/>
    <w:rsid w:val="000A0EB8"/>
    <w:rsid w:val="000A19FC"/>
    <w:rsid w:val="000A296B"/>
    <w:rsid w:val="000A3404"/>
    <w:rsid w:val="000A4399"/>
    <w:rsid w:val="000A588D"/>
    <w:rsid w:val="000A7311"/>
    <w:rsid w:val="000B060F"/>
    <w:rsid w:val="000B0A10"/>
    <w:rsid w:val="000B1592"/>
    <w:rsid w:val="000B1FF2"/>
    <w:rsid w:val="000B3778"/>
    <w:rsid w:val="000B3A25"/>
    <w:rsid w:val="000B3CDA"/>
    <w:rsid w:val="000B6A0B"/>
    <w:rsid w:val="000C0F6C"/>
    <w:rsid w:val="000C11DB"/>
    <w:rsid w:val="000C1492"/>
    <w:rsid w:val="000C2FBD"/>
    <w:rsid w:val="000C4B41"/>
    <w:rsid w:val="000C57D6"/>
    <w:rsid w:val="000C6362"/>
    <w:rsid w:val="000C66E6"/>
    <w:rsid w:val="000C7666"/>
    <w:rsid w:val="000D0A9C"/>
    <w:rsid w:val="000D1795"/>
    <w:rsid w:val="000D329A"/>
    <w:rsid w:val="000D4B9C"/>
    <w:rsid w:val="000D4EB6"/>
    <w:rsid w:val="000D577E"/>
    <w:rsid w:val="000D753B"/>
    <w:rsid w:val="000E4C9E"/>
    <w:rsid w:val="000E6A75"/>
    <w:rsid w:val="000E6FD7"/>
    <w:rsid w:val="000E7144"/>
    <w:rsid w:val="000F06E1"/>
    <w:rsid w:val="000F0C53"/>
    <w:rsid w:val="000F0E3C"/>
    <w:rsid w:val="000F19D5"/>
    <w:rsid w:val="000F4050"/>
    <w:rsid w:val="000F4AEA"/>
    <w:rsid w:val="000F67E9"/>
    <w:rsid w:val="000F720D"/>
    <w:rsid w:val="00104926"/>
    <w:rsid w:val="00113B1E"/>
    <w:rsid w:val="0011711C"/>
    <w:rsid w:val="0012406A"/>
    <w:rsid w:val="00124E4F"/>
    <w:rsid w:val="001260B7"/>
    <w:rsid w:val="001265CB"/>
    <w:rsid w:val="0012678E"/>
    <w:rsid w:val="001321C6"/>
    <w:rsid w:val="001325C4"/>
    <w:rsid w:val="00133010"/>
    <w:rsid w:val="001334BB"/>
    <w:rsid w:val="001338EE"/>
    <w:rsid w:val="00133AAE"/>
    <w:rsid w:val="00135323"/>
    <w:rsid w:val="001356C4"/>
    <w:rsid w:val="00137565"/>
    <w:rsid w:val="00141114"/>
    <w:rsid w:val="00142969"/>
    <w:rsid w:val="00143FCD"/>
    <w:rsid w:val="001446C2"/>
    <w:rsid w:val="001454C4"/>
    <w:rsid w:val="001457E7"/>
    <w:rsid w:val="00145D9D"/>
    <w:rsid w:val="00146388"/>
    <w:rsid w:val="00151413"/>
    <w:rsid w:val="001527F5"/>
    <w:rsid w:val="001529E5"/>
    <w:rsid w:val="00152FB3"/>
    <w:rsid w:val="00153C7E"/>
    <w:rsid w:val="0015610F"/>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1704"/>
    <w:rsid w:val="00173073"/>
    <w:rsid w:val="0017340B"/>
    <w:rsid w:val="00173DA5"/>
    <w:rsid w:val="00173FB1"/>
    <w:rsid w:val="001755BF"/>
    <w:rsid w:val="00176429"/>
    <w:rsid w:val="00176DFD"/>
    <w:rsid w:val="001852C9"/>
    <w:rsid w:val="00187A0B"/>
    <w:rsid w:val="00190087"/>
    <w:rsid w:val="001913C4"/>
    <w:rsid w:val="0019140A"/>
    <w:rsid w:val="0019348F"/>
    <w:rsid w:val="00193A07"/>
    <w:rsid w:val="00194C95"/>
    <w:rsid w:val="00195A22"/>
    <w:rsid w:val="00195C34"/>
    <w:rsid w:val="00196EF5"/>
    <w:rsid w:val="001A1A53"/>
    <w:rsid w:val="001A1F24"/>
    <w:rsid w:val="001A234A"/>
    <w:rsid w:val="001A4CF3"/>
    <w:rsid w:val="001A5F16"/>
    <w:rsid w:val="001A6696"/>
    <w:rsid w:val="001B06E8"/>
    <w:rsid w:val="001B71D0"/>
    <w:rsid w:val="001B71EE"/>
    <w:rsid w:val="001C04A8"/>
    <w:rsid w:val="001C2C03"/>
    <w:rsid w:val="001C2DA7"/>
    <w:rsid w:val="001C42F7"/>
    <w:rsid w:val="001C49E5"/>
    <w:rsid w:val="001C680C"/>
    <w:rsid w:val="001C7917"/>
    <w:rsid w:val="001C7FEA"/>
    <w:rsid w:val="001D0499"/>
    <w:rsid w:val="001D0BBE"/>
    <w:rsid w:val="001D0ED4"/>
    <w:rsid w:val="001D1626"/>
    <w:rsid w:val="001D212F"/>
    <w:rsid w:val="001D29D7"/>
    <w:rsid w:val="001D2DE7"/>
    <w:rsid w:val="001D411C"/>
    <w:rsid w:val="001D6FF0"/>
    <w:rsid w:val="001E1B6A"/>
    <w:rsid w:val="001E2484"/>
    <w:rsid w:val="001E3CC4"/>
    <w:rsid w:val="001E4882"/>
    <w:rsid w:val="001E73AB"/>
    <w:rsid w:val="001F092D"/>
    <w:rsid w:val="001F143A"/>
    <w:rsid w:val="001F1605"/>
    <w:rsid w:val="001F2508"/>
    <w:rsid w:val="001F4816"/>
    <w:rsid w:val="001F5B93"/>
    <w:rsid w:val="001F69B4"/>
    <w:rsid w:val="001F77C7"/>
    <w:rsid w:val="00200183"/>
    <w:rsid w:val="00200333"/>
    <w:rsid w:val="0020107D"/>
    <w:rsid w:val="002012AB"/>
    <w:rsid w:val="00202AA4"/>
    <w:rsid w:val="002031F7"/>
    <w:rsid w:val="002040E6"/>
    <w:rsid w:val="0020527B"/>
    <w:rsid w:val="00205F2C"/>
    <w:rsid w:val="00210B15"/>
    <w:rsid w:val="00213153"/>
    <w:rsid w:val="002142EA"/>
    <w:rsid w:val="002146E2"/>
    <w:rsid w:val="00215ADD"/>
    <w:rsid w:val="002204BB"/>
    <w:rsid w:val="00221B79"/>
    <w:rsid w:val="00221C6B"/>
    <w:rsid w:val="00223845"/>
    <w:rsid w:val="002253A1"/>
    <w:rsid w:val="00225CF8"/>
    <w:rsid w:val="0022794E"/>
    <w:rsid w:val="0023315F"/>
    <w:rsid w:val="00233D64"/>
    <w:rsid w:val="002347EF"/>
    <w:rsid w:val="0023482A"/>
    <w:rsid w:val="00234B0C"/>
    <w:rsid w:val="002359CB"/>
    <w:rsid w:val="00235BEA"/>
    <w:rsid w:val="00236BAB"/>
    <w:rsid w:val="00243540"/>
    <w:rsid w:val="0024497B"/>
    <w:rsid w:val="0024515B"/>
    <w:rsid w:val="00246021"/>
    <w:rsid w:val="0024666E"/>
    <w:rsid w:val="00247F52"/>
    <w:rsid w:val="00250B25"/>
    <w:rsid w:val="00250BBE"/>
    <w:rsid w:val="002515C2"/>
    <w:rsid w:val="0025194F"/>
    <w:rsid w:val="002542FB"/>
    <w:rsid w:val="00257803"/>
    <w:rsid w:val="0026148A"/>
    <w:rsid w:val="00262696"/>
    <w:rsid w:val="00263D25"/>
    <w:rsid w:val="002643C3"/>
    <w:rsid w:val="00264A0C"/>
    <w:rsid w:val="00266EEB"/>
    <w:rsid w:val="00267EF4"/>
    <w:rsid w:val="00270CB8"/>
    <w:rsid w:val="00272B08"/>
    <w:rsid w:val="00280438"/>
    <w:rsid w:val="00281BB8"/>
    <w:rsid w:val="00281E9E"/>
    <w:rsid w:val="00282405"/>
    <w:rsid w:val="00285170"/>
    <w:rsid w:val="00285361"/>
    <w:rsid w:val="00292D60"/>
    <w:rsid w:val="00293B30"/>
    <w:rsid w:val="00294D34"/>
    <w:rsid w:val="00294E3B"/>
    <w:rsid w:val="00295B4E"/>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17BA"/>
    <w:rsid w:val="002D42B5"/>
    <w:rsid w:val="002D4F1A"/>
    <w:rsid w:val="002D6EC6"/>
    <w:rsid w:val="002D72DA"/>
    <w:rsid w:val="002D79AC"/>
    <w:rsid w:val="002E039D"/>
    <w:rsid w:val="002E169F"/>
    <w:rsid w:val="002E3402"/>
    <w:rsid w:val="002E362B"/>
    <w:rsid w:val="002E4D5A"/>
    <w:rsid w:val="002E6326"/>
    <w:rsid w:val="002F30E0"/>
    <w:rsid w:val="002F35E4"/>
    <w:rsid w:val="002F3730"/>
    <w:rsid w:val="002F38E1"/>
    <w:rsid w:val="002F7AF6"/>
    <w:rsid w:val="00300E63"/>
    <w:rsid w:val="00302F5F"/>
    <w:rsid w:val="0030424A"/>
    <w:rsid w:val="0030441D"/>
    <w:rsid w:val="00306063"/>
    <w:rsid w:val="00311FB9"/>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578C1"/>
    <w:rsid w:val="00357900"/>
    <w:rsid w:val="0036063A"/>
    <w:rsid w:val="0036107C"/>
    <w:rsid w:val="003615D2"/>
    <w:rsid w:val="00361DAA"/>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B06"/>
    <w:rsid w:val="003963E6"/>
    <w:rsid w:val="0039738B"/>
    <w:rsid w:val="003974EB"/>
    <w:rsid w:val="00397CC5"/>
    <w:rsid w:val="003A11D1"/>
    <w:rsid w:val="003A1582"/>
    <w:rsid w:val="003A3D9C"/>
    <w:rsid w:val="003A4077"/>
    <w:rsid w:val="003A4AA7"/>
    <w:rsid w:val="003B09AD"/>
    <w:rsid w:val="003B1F18"/>
    <w:rsid w:val="003B4697"/>
    <w:rsid w:val="003B5BF0"/>
    <w:rsid w:val="003B60BF"/>
    <w:rsid w:val="003B6BE3"/>
    <w:rsid w:val="003C010C"/>
    <w:rsid w:val="003C0A6C"/>
    <w:rsid w:val="003C14F8"/>
    <w:rsid w:val="003C4B7E"/>
    <w:rsid w:val="003C561A"/>
    <w:rsid w:val="003C5A43"/>
    <w:rsid w:val="003C6E68"/>
    <w:rsid w:val="003D0519"/>
    <w:rsid w:val="003D0FF6"/>
    <w:rsid w:val="003D262C"/>
    <w:rsid w:val="003D2849"/>
    <w:rsid w:val="003D6D61"/>
    <w:rsid w:val="003E019F"/>
    <w:rsid w:val="003E091D"/>
    <w:rsid w:val="003E0FC0"/>
    <w:rsid w:val="003E1C53"/>
    <w:rsid w:val="003E1D59"/>
    <w:rsid w:val="003E2A69"/>
    <w:rsid w:val="003E2D49"/>
    <w:rsid w:val="003E2FD4"/>
    <w:rsid w:val="003E48DE"/>
    <w:rsid w:val="003E49F6"/>
    <w:rsid w:val="003E660F"/>
    <w:rsid w:val="003F0841"/>
    <w:rsid w:val="003F23D3"/>
    <w:rsid w:val="003F3F08"/>
    <w:rsid w:val="003F49F1"/>
    <w:rsid w:val="003F6272"/>
    <w:rsid w:val="00400E72"/>
    <w:rsid w:val="00401400"/>
    <w:rsid w:val="00404015"/>
    <w:rsid w:val="00404869"/>
    <w:rsid w:val="00405884"/>
    <w:rsid w:val="00407D39"/>
    <w:rsid w:val="004122CB"/>
    <w:rsid w:val="0041477A"/>
    <w:rsid w:val="004167A3"/>
    <w:rsid w:val="00423B5C"/>
    <w:rsid w:val="00425FA3"/>
    <w:rsid w:val="004268F4"/>
    <w:rsid w:val="00432AD9"/>
    <w:rsid w:val="00432DAA"/>
    <w:rsid w:val="00434305"/>
    <w:rsid w:val="00435DF7"/>
    <w:rsid w:val="0043741A"/>
    <w:rsid w:val="0044083F"/>
    <w:rsid w:val="00441AE7"/>
    <w:rsid w:val="00445574"/>
    <w:rsid w:val="004467FB"/>
    <w:rsid w:val="00450E97"/>
    <w:rsid w:val="00452D6B"/>
    <w:rsid w:val="00453DEE"/>
    <w:rsid w:val="00454484"/>
    <w:rsid w:val="0045517B"/>
    <w:rsid w:val="00462855"/>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956E9"/>
    <w:rsid w:val="00497AB7"/>
    <w:rsid w:val="004A12DF"/>
    <w:rsid w:val="004A1BA8"/>
    <w:rsid w:val="004A3CDF"/>
    <w:rsid w:val="004A4B57"/>
    <w:rsid w:val="004A63FA"/>
    <w:rsid w:val="004A6A3D"/>
    <w:rsid w:val="004B0272"/>
    <w:rsid w:val="004B04F6"/>
    <w:rsid w:val="004B2701"/>
    <w:rsid w:val="004B2E1B"/>
    <w:rsid w:val="004B3AA8"/>
    <w:rsid w:val="004B3E93"/>
    <w:rsid w:val="004B5989"/>
    <w:rsid w:val="004C0199"/>
    <w:rsid w:val="004C1FBC"/>
    <w:rsid w:val="004C25A2"/>
    <w:rsid w:val="004C3F1D"/>
    <w:rsid w:val="004C458D"/>
    <w:rsid w:val="004C570E"/>
    <w:rsid w:val="004C7556"/>
    <w:rsid w:val="004C7E8B"/>
    <w:rsid w:val="004C7E9D"/>
    <w:rsid w:val="004C7E9E"/>
    <w:rsid w:val="004C7F67"/>
    <w:rsid w:val="004D04B5"/>
    <w:rsid w:val="004D076D"/>
    <w:rsid w:val="004D0EF1"/>
    <w:rsid w:val="004D2253"/>
    <w:rsid w:val="004D2865"/>
    <w:rsid w:val="004D4406"/>
    <w:rsid w:val="004D7C42"/>
    <w:rsid w:val="004E0465"/>
    <w:rsid w:val="004E127B"/>
    <w:rsid w:val="004E1C0A"/>
    <w:rsid w:val="004E30C5"/>
    <w:rsid w:val="004E3DAA"/>
    <w:rsid w:val="004E4AA5"/>
    <w:rsid w:val="004E4AEE"/>
    <w:rsid w:val="004E59E3"/>
    <w:rsid w:val="004E67C0"/>
    <w:rsid w:val="004F391A"/>
    <w:rsid w:val="004F3CFB"/>
    <w:rsid w:val="004F4101"/>
    <w:rsid w:val="004F6456"/>
    <w:rsid w:val="004F696E"/>
    <w:rsid w:val="004F6C71"/>
    <w:rsid w:val="004F796C"/>
    <w:rsid w:val="00501139"/>
    <w:rsid w:val="0050363E"/>
    <w:rsid w:val="005039BC"/>
    <w:rsid w:val="005043BB"/>
    <w:rsid w:val="00504A3D"/>
    <w:rsid w:val="00505767"/>
    <w:rsid w:val="005073F0"/>
    <w:rsid w:val="00510A7B"/>
    <w:rsid w:val="00512F6E"/>
    <w:rsid w:val="00513038"/>
    <w:rsid w:val="00514174"/>
    <w:rsid w:val="00515DDF"/>
    <w:rsid w:val="00516088"/>
    <w:rsid w:val="00516B0B"/>
    <w:rsid w:val="00521997"/>
    <w:rsid w:val="005220EC"/>
    <w:rsid w:val="00523F95"/>
    <w:rsid w:val="00524D65"/>
    <w:rsid w:val="00525B16"/>
    <w:rsid w:val="00533D04"/>
    <w:rsid w:val="00534804"/>
    <w:rsid w:val="00534BDF"/>
    <w:rsid w:val="005354EA"/>
    <w:rsid w:val="0053585F"/>
    <w:rsid w:val="00535EC4"/>
    <w:rsid w:val="00535ED9"/>
    <w:rsid w:val="0053641E"/>
    <w:rsid w:val="0053692B"/>
    <w:rsid w:val="00541853"/>
    <w:rsid w:val="00543BDA"/>
    <w:rsid w:val="005441CC"/>
    <w:rsid w:val="005479DA"/>
    <w:rsid w:val="00547BCC"/>
    <w:rsid w:val="0055013B"/>
    <w:rsid w:val="00551F6F"/>
    <w:rsid w:val="00555044"/>
    <w:rsid w:val="005576A0"/>
    <w:rsid w:val="00561475"/>
    <w:rsid w:val="00562308"/>
    <w:rsid w:val="00563EBD"/>
    <w:rsid w:val="0056487B"/>
    <w:rsid w:val="00564FB9"/>
    <w:rsid w:val="00566B47"/>
    <w:rsid w:val="00570057"/>
    <w:rsid w:val="00571082"/>
    <w:rsid w:val="00573D9E"/>
    <w:rsid w:val="00574AE4"/>
    <w:rsid w:val="00575BA1"/>
    <w:rsid w:val="005801E3"/>
    <w:rsid w:val="00581802"/>
    <w:rsid w:val="005836A8"/>
    <w:rsid w:val="0058409C"/>
    <w:rsid w:val="00584262"/>
    <w:rsid w:val="00586630"/>
    <w:rsid w:val="00587ADD"/>
    <w:rsid w:val="005923F0"/>
    <w:rsid w:val="00593A49"/>
    <w:rsid w:val="00596160"/>
    <w:rsid w:val="005966E2"/>
    <w:rsid w:val="00597007"/>
    <w:rsid w:val="005A0966"/>
    <w:rsid w:val="005A11B7"/>
    <w:rsid w:val="005A260B"/>
    <w:rsid w:val="005A29B1"/>
    <w:rsid w:val="005A4A1B"/>
    <w:rsid w:val="005A4C04"/>
    <w:rsid w:val="005A7830"/>
    <w:rsid w:val="005A784E"/>
    <w:rsid w:val="005A7FCE"/>
    <w:rsid w:val="005B0F3F"/>
    <w:rsid w:val="005B191C"/>
    <w:rsid w:val="005B4903"/>
    <w:rsid w:val="005B51CE"/>
    <w:rsid w:val="005B5885"/>
    <w:rsid w:val="005B5CD7"/>
    <w:rsid w:val="005B6CF6"/>
    <w:rsid w:val="005B7422"/>
    <w:rsid w:val="005C29B8"/>
    <w:rsid w:val="005C3B43"/>
    <w:rsid w:val="005C542E"/>
    <w:rsid w:val="005C5F21"/>
    <w:rsid w:val="005C7156"/>
    <w:rsid w:val="005D0C75"/>
    <w:rsid w:val="005D4171"/>
    <w:rsid w:val="005D5A86"/>
    <w:rsid w:val="005D6A95"/>
    <w:rsid w:val="005D6B2C"/>
    <w:rsid w:val="005D6D9C"/>
    <w:rsid w:val="005E2335"/>
    <w:rsid w:val="005E34CA"/>
    <w:rsid w:val="005E3C18"/>
    <w:rsid w:val="005E4250"/>
    <w:rsid w:val="005E6812"/>
    <w:rsid w:val="005E7881"/>
    <w:rsid w:val="005E78E0"/>
    <w:rsid w:val="005F0D9C"/>
    <w:rsid w:val="005F284E"/>
    <w:rsid w:val="006015CE"/>
    <w:rsid w:val="0060472E"/>
    <w:rsid w:val="00604784"/>
    <w:rsid w:val="00605ECF"/>
    <w:rsid w:val="00606419"/>
    <w:rsid w:val="00607D29"/>
    <w:rsid w:val="006101FA"/>
    <w:rsid w:val="00611D16"/>
    <w:rsid w:val="00612952"/>
    <w:rsid w:val="00614CC1"/>
    <w:rsid w:val="006156BB"/>
    <w:rsid w:val="00615A9D"/>
    <w:rsid w:val="00617387"/>
    <w:rsid w:val="006205D6"/>
    <w:rsid w:val="0062348D"/>
    <w:rsid w:val="00623E27"/>
    <w:rsid w:val="006252D8"/>
    <w:rsid w:val="006259BC"/>
    <w:rsid w:val="0062636B"/>
    <w:rsid w:val="00632182"/>
    <w:rsid w:val="00632AE0"/>
    <w:rsid w:val="00633C17"/>
    <w:rsid w:val="00634D9E"/>
    <w:rsid w:val="00636968"/>
    <w:rsid w:val="00636E3E"/>
    <w:rsid w:val="006379F7"/>
    <w:rsid w:val="00637E4D"/>
    <w:rsid w:val="0064040D"/>
    <w:rsid w:val="00640620"/>
    <w:rsid w:val="00641A1F"/>
    <w:rsid w:val="00644C99"/>
    <w:rsid w:val="00645904"/>
    <w:rsid w:val="00647685"/>
    <w:rsid w:val="00651ACB"/>
    <w:rsid w:val="00651C47"/>
    <w:rsid w:val="00652AB2"/>
    <w:rsid w:val="00653FED"/>
    <w:rsid w:val="00654EC0"/>
    <w:rsid w:val="0065525B"/>
    <w:rsid w:val="00655D4F"/>
    <w:rsid w:val="00656AC4"/>
    <w:rsid w:val="00656D29"/>
    <w:rsid w:val="006640E5"/>
    <w:rsid w:val="006646F1"/>
    <w:rsid w:val="00664929"/>
    <w:rsid w:val="00664F62"/>
    <w:rsid w:val="006655E1"/>
    <w:rsid w:val="00665F34"/>
    <w:rsid w:val="00670050"/>
    <w:rsid w:val="00672060"/>
    <w:rsid w:val="00672BFD"/>
    <w:rsid w:val="006770F4"/>
    <w:rsid w:val="00677A84"/>
    <w:rsid w:val="0068026D"/>
    <w:rsid w:val="00680A27"/>
    <w:rsid w:val="006816A4"/>
    <w:rsid w:val="006819B8"/>
    <w:rsid w:val="0068396E"/>
    <w:rsid w:val="006840A6"/>
    <w:rsid w:val="006850CD"/>
    <w:rsid w:val="00685AAB"/>
    <w:rsid w:val="00693962"/>
    <w:rsid w:val="006A07AA"/>
    <w:rsid w:val="006A25E5"/>
    <w:rsid w:val="006A2B46"/>
    <w:rsid w:val="006A336D"/>
    <w:rsid w:val="006A37B9"/>
    <w:rsid w:val="006B2672"/>
    <w:rsid w:val="006B4465"/>
    <w:rsid w:val="006B4DCD"/>
    <w:rsid w:val="006B54BF"/>
    <w:rsid w:val="006B5F44"/>
    <w:rsid w:val="006B5F90"/>
    <w:rsid w:val="006B62E4"/>
    <w:rsid w:val="006C1BBA"/>
    <w:rsid w:val="006C2079"/>
    <w:rsid w:val="006C2BFA"/>
    <w:rsid w:val="006C5A62"/>
    <w:rsid w:val="006C5D68"/>
    <w:rsid w:val="006C632A"/>
    <w:rsid w:val="006C6976"/>
    <w:rsid w:val="006C6DD0"/>
    <w:rsid w:val="006C7205"/>
    <w:rsid w:val="006D04EA"/>
    <w:rsid w:val="006D16C4"/>
    <w:rsid w:val="006D2D77"/>
    <w:rsid w:val="006D3E96"/>
    <w:rsid w:val="006D4515"/>
    <w:rsid w:val="006D4BB1"/>
    <w:rsid w:val="006D610A"/>
    <w:rsid w:val="006D6593"/>
    <w:rsid w:val="006E3FBD"/>
    <w:rsid w:val="006E6B65"/>
    <w:rsid w:val="006E7524"/>
    <w:rsid w:val="006F03A8"/>
    <w:rsid w:val="006F06EB"/>
    <w:rsid w:val="006F2ACA"/>
    <w:rsid w:val="006F2ADC"/>
    <w:rsid w:val="006F2BFE"/>
    <w:rsid w:val="006F31E9"/>
    <w:rsid w:val="006F4CD5"/>
    <w:rsid w:val="006F6284"/>
    <w:rsid w:val="007002C5"/>
    <w:rsid w:val="00704387"/>
    <w:rsid w:val="007063F3"/>
    <w:rsid w:val="00707669"/>
    <w:rsid w:val="0071175D"/>
    <w:rsid w:val="00711CBA"/>
    <w:rsid w:val="00711FB5"/>
    <w:rsid w:val="00712A01"/>
    <w:rsid w:val="00714F58"/>
    <w:rsid w:val="007151E9"/>
    <w:rsid w:val="00716D95"/>
    <w:rsid w:val="0071724B"/>
    <w:rsid w:val="00722FBF"/>
    <w:rsid w:val="00722FC2"/>
    <w:rsid w:val="00724E1B"/>
    <w:rsid w:val="00725949"/>
    <w:rsid w:val="00727FA2"/>
    <w:rsid w:val="007315F2"/>
    <w:rsid w:val="007322D9"/>
    <w:rsid w:val="00732BC0"/>
    <w:rsid w:val="00733050"/>
    <w:rsid w:val="0073720F"/>
    <w:rsid w:val="00737796"/>
    <w:rsid w:val="007407BD"/>
    <w:rsid w:val="007411EF"/>
    <w:rsid w:val="0074165C"/>
    <w:rsid w:val="00742400"/>
    <w:rsid w:val="00742C35"/>
    <w:rsid w:val="007432CA"/>
    <w:rsid w:val="007439EB"/>
    <w:rsid w:val="00743CB4"/>
    <w:rsid w:val="00743F0A"/>
    <w:rsid w:val="007444E8"/>
    <w:rsid w:val="00745351"/>
    <w:rsid w:val="0074548E"/>
    <w:rsid w:val="00745773"/>
    <w:rsid w:val="00746800"/>
    <w:rsid w:val="007501A8"/>
    <w:rsid w:val="00750D61"/>
    <w:rsid w:val="00750EE1"/>
    <w:rsid w:val="00752B4D"/>
    <w:rsid w:val="0075525D"/>
    <w:rsid w:val="00755402"/>
    <w:rsid w:val="00756B26"/>
    <w:rsid w:val="00756EDF"/>
    <w:rsid w:val="007600E3"/>
    <w:rsid w:val="00765C43"/>
    <w:rsid w:val="00765EFB"/>
    <w:rsid w:val="007671CA"/>
    <w:rsid w:val="00767C61"/>
    <w:rsid w:val="0077008A"/>
    <w:rsid w:val="007724B4"/>
    <w:rsid w:val="00773C1F"/>
    <w:rsid w:val="007741E1"/>
    <w:rsid w:val="00774DA4"/>
    <w:rsid w:val="00776599"/>
    <w:rsid w:val="0078114B"/>
    <w:rsid w:val="00781DD2"/>
    <w:rsid w:val="00783ECF"/>
    <w:rsid w:val="0078413A"/>
    <w:rsid w:val="00787417"/>
    <w:rsid w:val="007929EF"/>
    <w:rsid w:val="007959E8"/>
    <w:rsid w:val="00795E9C"/>
    <w:rsid w:val="00797A8B"/>
    <w:rsid w:val="007A0521"/>
    <w:rsid w:val="007A07A6"/>
    <w:rsid w:val="007A2E12"/>
    <w:rsid w:val="007A3475"/>
    <w:rsid w:val="007A3C61"/>
    <w:rsid w:val="007A41C8"/>
    <w:rsid w:val="007A54CE"/>
    <w:rsid w:val="007A5D3A"/>
    <w:rsid w:val="007A6FD9"/>
    <w:rsid w:val="007A7FFA"/>
    <w:rsid w:val="007B04EB"/>
    <w:rsid w:val="007B0D4F"/>
    <w:rsid w:val="007B1BC6"/>
    <w:rsid w:val="007B5A3D"/>
    <w:rsid w:val="007B5B95"/>
    <w:rsid w:val="007B6032"/>
    <w:rsid w:val="007B68EA"/>
    <w:rsid w:val="007B7453"/>
    <w:rsid w:val="007C2D89"/>
    <w:rsid w:val="007C4593"/>
    <w:rsid w:val="007C4F46"/>
    <w:rsid w:val="007C5309"/>
    <w:rsid w:val="007C6069"/>
    <w:rsid w:val="007D06C4"/>
    <w:rsid w:val="007D1352"/>
    <w:rsid w:val="007D2508"/>
    <w:rsid w:val="007D2AAB"/>
    <w:rsid w:val="007D346A"/>
    <w:rsid w:val="007D6518"/>
    <w:rsid w:val="007D76BD"/>
    <w:rsid w:val="007D7E6E"/>
    <w:rsid w:val="007E0BF1"/>
    <w:rsid w:val="007E6E59"/>
    <w:rsid w:val="007F0ED8"/>
    <w:rsid w:val="007F0F63"/>
    <w:rsid w:val="007F256D"/>
    <w:rsid w:val="007F75CE"/>
    <w:rsid w:val="00800397"/>
    <w:rsid w:val="008013A4"/>
    <w:rsid w:val="008027CE"/>
    <w:rsid w:val="00802F42"/>
    <w:rsid w:val="00804383"/>
    <w:rsid w:val="00804BB7"/>
    <w:rsid w:val="00804D41"/>
    <w:rsid w:val="00810257"/>
    <w:rsid w:val="008104F5"/>
    <w:rsid w:val="00811072"/>
    <w:rsid w:val="00811369"/>
    <w:rsid w:val="00815419"/>
    <w:rsid w:val="00815E35"/>
    <w:rsid w:val="00816022"/>
    <w:rsid w:val="008163C8"/>
    <w:rsid w:val="008164A1"/>
    <w:rsid w:val="00817325"/>
    <w:rsid w:val="008209E6"/>
    <w:rsid w:val="00821AC8"/>
    <w:rsid w:val="00821D19"/>
    <w:rsid w:val="00823303"/>
    <w:rsid w:val="008233B2"/>
    <w:rsid w:val="00823A9F"/>
    <w:rsid w:val="00823C85"/>
    <w:rsid w:val="00825138"/>
    <w:rsid w:val="008269DD"/>
    <w:rsid w:val="00827564"/>
    <w:rsid w:val="00830621"/>
    <w:rsid w:val="0083348C"/>
    <w:rsid w:val="00834920"/>
    <w:rsid w:val="008373D3"/>
    <w:rsid w:val="00837C08"/>
    <w:rsid w:val="00840617"/>
    <w:rsid w:val="00840F84"/>
    <w:rsid w:val="00842A47"/>
    <w:rsid w:val="00843C13"/>
    <w:rsid w:val="00843DEF"/>
    <w:rsid w:val="008454F8"/>
    <w:rsid w:val="0084586F"/>
    <w:rsid w:val="00846595"/>
    <w:rsid w:val="008479F4"/>
    <w:rsid w:val="0085173A"/>
    <w:rsid w:val="00852411"/>
    <w:rsid w:val="00854687"/>
    <w:rsid w:val="008603CE"/>
    <w:rsid w:val="008620FC"/>
    <w:rsid w:val="008627A5"/>
    <w:rsid w:val="00863E05"/>
    <w:rsid w:val="008656C6"/>
    <w:rsid w:val="00865ACA"/>
    <w:rsid w:val="00865D28"/>
    <w:rsid w:val="00865F85"/>
    <w:rsid w:val="008678F8"/>
    <w:rsid w:val="00867C10"/>
    <w:rsid w:val="00870439"/>
    <w:rsid w:val="00870DA1"/>
    <w:rsid w:val="008724FB"/>
    <w:rsid w:val="00880ED4"/>
    <w:rsid w:val="00883F93"/>
    <w:rsid w:val="00884DB3"/>
    <w:rsid w:val="0088516A"/>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A3C"/>
    <w:rsid w:val="008B0C9C"/>
    <w:rsid w:val="008B166D"/>
    <w:rsid w:val="008B17F4"/>
    <w:rsid w:val="008B3615"/>
    <w:rsid w:val="008B4AC4"/>
    <w:rsid w:val="008B50C8"/>
    <w:rsid w:val="008B5281"/>
    <w:rsid w:val="008B6EBA"/>
    <w:rsid w:val="008B6FE9"/>
    <w:rsid w:val="008B7E05"/>
    <w:rsid w:val="008C1797"/>
    <w:rsid w:val="008C219C"/>
    <w:rsid w:val="008C475E"/>
    <w:rsid w:val="008C619A"/>
    <w:rsid w:val="008D0CE8"/>
    <w:rsid w:val="008D2D1D"/>
    <w:rsid w:val="008D360E"/>
    <w:rsid w:val="008D453D"/>
    <w:rsid w:val="008D53AD"/>
    <w:rsid w:val="008D562B"/>
    <w:rsid w:val="008D5733"/>
    <w:rsid w:val="008D622B"/>
    <w:rsid w:val="008D666C"/>
    <w:rsid w:val="008D7B54"/>
    <w:rsid w:val="008E0C9D"/>
    <w:rsid w:val="008E1648"/>
    <w:rsid w:val="008E1B3E"/>
    <w:rsid w:val="008E2319"/>
    <w:rsid w:val="008E4BB6"/>
    <w:rsid w:val="008E50AB"/>
    <w:rsid w:val="008E5518"/>
    <w:rsid w:val="008E6A84"/>
    <w:rsid w:val="008E7339"/>
    <w:rsid w:val="008F0CDC"/>
    <w:rsid w:val="008F17A3"/>
    <w:rsid w:val="008F1ED3"/>
    <w:rsid w:val="008F4C29"/>
    <w:rsid w:val="008F70BD"/>
    <w:rsid w:val="008F7221"/>
    <w:rsid w:val="008F788F"/>
    <w:rsid w:val="008F7EA2"/>
    <w:rsid w:val="00902722"/>
    <w:rsid w:val="009027BC"/>
    <w:rsid w:val="009062E6"/>
    <w:rsid w:val="00906AA7"/>
    <w:rsid w:val="00910A91"/>
    <w:rsid w:val="00911BE5"/>
    <w:rsid w:val="00913CA9"/>
    <w:rsid w:val="00913ED3"/>
    <w:rsid w:val="009145AE"/>
    <w:rsid w:val="009146CE"/>
    <w:rsid w:val="00914CA7"/>
    <w:rsid w:val="00915C3E"/>
    <w:rsid w:val="00915F5B"/>
    <w:rsid w:val="009161A8"/>
    <w:rsid w:val="009245AE"/>
    <w:rsid w:val="009245F5"/>
    <w:rsid w:val="009249EC"/>
    <w:rsid w:val="009273B3"/>
    <w:rsid w:val="009305B5"/>
    <w:rsid w:val="00936FD6"/>
    <w:rsid w:val="009378DD"/>
    <w:rsid w:val="009429D5"/>
    <w:rsid w:val="00942BF1"/>
    <w:rsid w:val="00945180"/>
    <w:rsid w:val="00945428"/>
    <w:rsid w:val="0094607B"/>
    <w:rsid w:val="00953468"/>
    <w:rsid w:val="00953604"/>
    <w:rsid w:val="00953B9D"/>
    <w:rsid w:val="0095496B"/>
    <w:rsid w:val="00960F1E"/>
    <w:rsid w:val="009610DC"/>
    <w:rsid w:val="00961490"/>
    <w:rsid w:val="009624E2"/>
    <w:rsid w:val="0096381A"/>
    <w:rsid w:val="00963908"/>
    <w:rsid w:val="00965E04"/>
    <w:rsid w:val="00966F80"/>
    <w:rsid w:val="009674AD"/>
    <w:rsid w:val="00970CDC"/>
    <w:rsid w:val="00975727"/>
    <w:rsid w:val="00976D31"/>
    <w:rsid w:val="00977010"/>
    <w:rsid w:val="00977D02"/>
    <w:rsid w:val="00977FF9"/>
    <w:rsid w:val="009809BB"/>
    <w:rsid w:val="0098364B"/>
    <w:rsid w:val="009856ED"/>
    <w:rsid w:val="009908A3"/>
    <w:rsid w:val="009911AF"/>
    <w:rsid w:val="00991875"/>
    <w:rsid w:val="00991F92"/>
    <w:rsid w:val="00992899"/>
    <w:rsid w:val="00992985"/>
    <w:rsid w:val="00993889"/>
    <w:rsid w:val="0099551B"/>
    <w:rsid w:val="00996BD2"/>
    <w:rsid w:val="00997BF1"/>
    <w:rsid w:val="009A089C"/>
    <w:rsid w:val="009A118E"/>
    <w:rsid w:val="009A21CD"/>
    <w:rsid w:val="009A278C"/>
    <w:rsid w:val="009A2BC2"/>
    <w:rsid w:val="009A42C1"/>
    <w:rsid w:val="009A5429"/>
    <w:rsid w:val="009A6D10"/>
    <w:rsid w:val="009A72AD"/>
    <w:rsid w:val="009B09B4"/>
    <w:rsid w:val="009B09E0"/>
    <w:rsid w:val="009B0BC5"/>
    <w:rsid w:val="009B1247"/>
    <w:rsid w:val="009B6029"/>
    <w:rsid w:val="009B6971"/>
    <w:rsid w:val="009C27F1"/>
    <w:rsid w:val="009C3152"/>
    <w:rsid w:val="009C3257"/>
    <w:rsid w:val="009C4098"/>
    <w:rsid w:val="009C4CFA"/>
    <w:rsid w:val="009C5070"/>
    <w:rsid w:val="009D112C"/>
    <w:rsid w:val="009D1385"/>
    <w:rsid w:val="009D1776"/>
    <w:rsid w:val="009D47FA"/>
    <w:rsid w:val="009D4C5B"/>
    <w:rsid w:val="009D50D2"/>
    <w:rsid w:val="009D6BCA"/>
    <w:rsid w:val="009E0F62"/>
    <w:rsid w:val="009E1B19"/>
    <w:rsid w:val="009E4A58"/>
    <w:rsid w:val="009E5A2D"/>
    <w:rsid w:val="009E5AB2"/>
    <w:rsid w:val="009E6219"/>
    <w:rsid w:val="009F03B3"/>
    <w:rsid w:val="009F2474"/>
    <w:rsid w:val="009F5E28"/>
    <w:rsid w:val="009F7B02"/>
    <w:rsid w:val="00A0096C"/>
    <w:rsid w:val="00A01757"/>
    <w:rsid w:val="00A028C0"/>
    <w:rsid w:val="00A02BAE"/>
    <w:rsid w:val="00A02F56"/>
    <w:rsid w:val="00A067AC"/>
    <w:rsid w:val="00A06A6B"/>
    <w:rsid w:val="00A07073"/>
    <w:rsid w:val="00A07E47"/>
    <w:rsid w:val="00A10994"/>
    <w:rsid w:val="00A129D0"/>
    <w:rsid w:val="00A12C33"/>
    <w:rsid w:val="00A138BA"/>
    <w:rsid w:val="00A14C8E"/>
    <w:rsid w:val="00A153D9"/>
    <w:rsid w:val="00A15F09"/>
    <w:rsid w:val="00A169B6"/>
    <w:rsid w:val="00A20F33"/>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4692C"/>
    <w:rsid w:val="00A477A4"/>
    <w:rsid w:val="00A55BD6"/>
    <w:rsid w:val="00A55D50"/>
    <w:rsid w:val="00A57142"/>
    <w:rsid w:val="00A61D25"/>
    <w:rsid w:val="00A62034"/>
    <w:rsid w:val="00A648CD"/>
    <w:rsid w:val="00A6537A"/>
    <w:rsid w:val="00A65445"/>
    <w:rsid w:val="00A664FC"/>
    <w:rsid w:val="00A67866"/>
    <w:rsid w:val="00A70527"/>
    <w:rsid w:val="00A70B07"/>
    <w:rsid w:val="00A723F8"/>
    <w:rsid w:val="00A74D25"/>
    <w:rsid w:val="00A75FDC"/>
    <w:rsid w:val="00A77CCB"/>
    <w:rsid w:val="00A83D8D"/>
    <w:rsid w:val="00A8446B"/>
    <w:rsid w:val="00A8473F"/>
    <w:rsid w:val="00A862D6"/>
    <w:rsid w:val="00A8715E"/>
    <w:rsid w:val="00A878DF"/>
    <w:rsid w:val="00A9295B"/>
    <w:rsid w:val="00A93B09"/>
    <w:rsid w:val="00A94651"/>
    <w:rsid w:val="00A952D7"/>
    <w:rsid w:val="00A963F7"/>
    <w:rsid w:val="00A96AD8"/>
    <w:rsid w:val="00A971A2"/>
    <w:rsid w:val="00A977AE"/>
    <w:rsid w:val="00A97F70"/>
    <w:rsid w:val="00AA052C"/>
    <w:rsid w:val="00AA1E45"/>
    <w:rsid w:val="00AA4286"/>
    <w:rsid w:val="00AA456B"/>
    <w:rsid w:val="00AA54B7"/>
    <w:rsid w:val="00AA57F5"/>
    <w:rsid w:val="00AA672E"/>
    <w:rsid w:val="00AA6EC9"/>
    <w:rsid w:val="00AB6309"/>
    <w:rsid w:val="00AB6C5F"/>
    <w:rsid w:val="00AB7129"/>
    <w:rsid w:val="00AC0AE7"/>
    <w:rsid w:val="00AC12BF"/>
    <w:rsid w:val="00AC27A6"/>
    <w:rsid w:val="00AC30F7"/>
    <w:rsid w:val="00AC3A5A"/>
    <w:rsid w:val="00AC4D95"/>
    <w:rsid w:val="00AC5D8F"/>
    <w:rsid w:val="00AC5DF4"/>
    <w:rsid w:val="00AC6D18"/>
    <w:rsid w:val="00AD0AEF"/>
    <w:rsid w:val="00AD11B7"/>
    <w:rsid w:val="00AD1A94"/>
    <w:rsid w:val="00AD1C05"/>
    <w:rsid w:val="00AD4126"/>
    <w:rsid w:val="00AD421C"/>
    <w:rsid w:val="00AD44FA"/>
    <w:rsid w:val="00AD4D6D"/>
    <w:rsid w:val="00AD55FD"/>
    <w:rsid w:val="00AE070A"/>
    <w:rsid w:val="00AE101C"/>
    <w:rsid w:val="00AE2A69"/>
    <w:rsid w:val="00AE37E5"/>
    <w:rsid w:val="00AE4D2C"/>
    <w:rsid w:val="00AE5EB4"/>
    <w:rsid w:val="00AF0C18"/>
    <w:rsid w:val="00AF47C5"/>
    <w:rsid w:val="00AF5398"/>
    <w:rsid w:val="00B049AF"/>
    <w:rsid w:val="00B0655C"/>
    <w:rsid w:val="00B07242"/>
    <w:rsid w:val="00B10534"/>
    <w:rsid w:val="00B113DB"/>
    <w:rsid w:val="00B11D8A"/>
    <w:rsid w:val="00B12981"/>
    <w:rsid w:val="00B147DD"/>
    <w:rsid w:val="00B156FD"/>
    <w:rsid w:val="00B21F61"/>
    <w:rsid w:val="00B261F1"/>
    <w:rsid w:val="00B265BC"/>
    <w:rsid w:val="00B304B1"/>
    <w:rsid w:val="00B30EE4"/>
    <w:rsid w:val="00B31C96"/>
    <w:rsid w:val="00B31FB1"/>
    <w:rsid w:val="00B33952"/>
    <w:rsid w:val="00B33C5E"/>
    <w:rsid w:val="00B342F4"/>
    <w:rsid w:val="00B34369"/>
    <w:rsid w:val="00B34DC2"/>
    <w:rsid w:val="00B35F33"/>
    <w:rsid w:val="00B366B9"/>
    <w:rsid w:val="00B36B3B"/>
    <w:rsid w:val="00B378E5"/>
    <w:rsid w:val="00B41EFD"/>
    <w:rsid w:val="00B4346D"/>
    <w:rsid w:val="00B440F4"/>
    <w:rsid w:val="00B447A5"/>
    <w:rsid w:val="00B4654C"/>
    <w:rsid w:val="00B47293"/>
    <w:rsid w:val="00B50E50"/>
    <w:rsid w:val="00B51CF1"/>
    <w:rsid w:val="00B52120"/>
    <w:rsid w:val="00B53024"/>
    <w:rsid w:val="00B54ABC"/>
    <w:rsid w:val="00B55021"/>
    <w:rsid w:val="00B56FBE"/>
    <w:rsid w:val="00B57617"/>
    <w:rsid w:val="00B60ACF"/>
    <w:rsid w:val="00B62B58"/>
    <w:rsid w:val="00B65149"/>
    <w:rsid w:val="00B66567"/>
    <w:rsid w:val="00B66F52"/>
    <w:rsid w:val="00B66FE5"/>
    <w:rsid w:val="00B70F8C"/>
    <w:rsid w:val="00B72880"/>
    <w:rsid w:val="00B758BF"/>
    <w:rsid w:val="00B771BF"/>
    <w:rsid w:val="00B77EC8"/>
    <w:rsid w:val="00B8180B"/>
    <w:rsid w:val="00B827A6"/>
    <w:rsid w:val="00B831CE"/>
    <w:rsid w:val="00B86677"/>
    <w:rsid w:val="00B87131"/>
    <w:rsid w:val="00B90A6E"/>
    <w:rsid w:val="00B939B1"/>
    <w:rsid w:val="00B96B28"/>
    <w:rsid w:val="00B96D40"/>
    <w:rsid w:val="00B97386"/>
    <w:rsid w:val="00BA0B2A"/>
    <w:rsid w:val="00BA263B"/>
    <w:rsid w:val="00BA42B2"/>
    <w:rsid w:val="00BA58D4"/>
    <w:rsid w:val="00BA5B9E"/>
    <w:rsid w:val="00BA7C9A"/>
    <w:rsid w:val="00BB332A"/>
    <w:rsid w:val="00BB5F8F"/>
    <w:rsid w:val="00BB657A"/>
    <w:rsid w:val="00BB673D"/>
    <w:rsid w:val="00BB6903"/>
    <w:rsid w:val="00BC1A4E"/>
    <w:rsid w:val="00BC555B"/>
    <w:rsid w:val="00BC5DC7"/>
    <w:rsid w:val="00BC6452"/>
    <w:rsid w:val="00BC6B8B"/>
    <w:rsid w:val="00BC73D8"/>
    <w:rsid w:val="00BD52D7"/>
    <w:rsid w:val="00BD5AD2"/>
    <w:rsid w:val="00BE22F3"/>
    <w:rsid w:val="00BE5B52"/>
    <w:rsid w:val="00BE7B8D"/>
    <w:rsid w:val="00BF0993"/>
    <w:rsid w:val="00BF10A9"/>
    <w:rsid w:val="00BF1703"/>
    <w:rsid w:val="00BF231C"/>
    <w:rsid w:val="00BF34C2"/>
    <w:rsid w:val="00BF51E5"/>
    <w:rsid w:val="00BF74A6"/>
    <w:rsid w:val="00BF7C81"/>
    <w:rsid w:val="00C013AD"/>
    <w:rsid w:val="00C04904"/>
    <w:rsid w:val="00C056B3"/>
    <w:rsid w:val="00C103E5"/>
    <w:rsid w:val="00C13319"/>
    <w:rsid w:val="00C13EE9"/>
    <w:rsid w:val="00C1696E"/>
    <w:rsid w:val="00C21540"/>
    <w:rsid w:val="00C21906"/>
    <w:rsid w:val="00C21BFA"/>
    <w:rsid w:val="00C233F5"/>
    <w:rsid w:val="00C24C8D"/>
    <w:rsid w:val="00C25FE2"/>
    <w:rsid w:val="00C26B53"/>
    <w:rsid w:val="00C279B2"/>
    <w:rsid w:val="00C30F76"/>
    <w:rsid w:val="00C33E50"/>
    <w:rsid w:val="00C34C20"/>
    <w:rsid w:val="00C35A3E"/>
    <w:rsid w:val="00C42130"/>
    <w:rsid w:val="00C423A4"/>
    <w:rsid w:val="00C423E3"/>
    <w:rsid w:val="00C42E18"/>
    <w:rsid w:val="00C44BF5"/>
    <w:rsid w:val="00C476C0"/>
    <w:rsid w:val="00C521D6"/>
    <w:rsid w:val="00C52354"/>
    <w:rsid w:val="00C55232"/>
    <w:rsid w:val="00C553A4"/>
    <w:rsid w:val="00C55A06"/>
    <w:rsid w:val="00C55D03"/>
    <w:rsid w:val="00C601BC"/>
    <w:rsid w:val="00C610EC"/>
    <w:rsid w:val="00C6329F"/>
    <w:rsid w:val="00C63340"/>
    <w:rsid w:val="00C643F9"/>
    <w:rsid w:val="00C64E95"/>
    <w:rsid w:val="00C67C65"/>
    <w:rsid w:val="00C71372"/>
    <w:rsid w:val="00C72410"/>
    <w:rsid w:val="00C7287F"/>
    <w:rsid w:val="00C80CB8"/>
    <w:rsid w:val="00C819F8"/>
    <w:rsid w:val="00C8248C"/>
    <w:rsid w:val="00C84E33"/>
    <w:rsid w:val="00C86D6F"/>
    <w:rsid w:val="00C905FC"/>
    <w:rsid w:val="00C91501"/>
    <w:rsid w:val="00C92D03"/>
    <w:rsid w:val="00C9319C"/>
    <w:rsid w:val="00C9435D"/>
    <w:rsid w:val="00C94DF2"/>
    <w:rsid w:val="00C96741"/>
    <w:rsid w:val="00CA1900"/>
    <w:rsid w:val="00CA2D1B"/>
    <w:rsid w:val="00CA375D"/>
    <w:rsid w:val="00CA662A"/>
    <w:rsid w:val="00CA7AFD"/>
    <w:rsid w:val="00CA7C3C"/>
    <w:rsid w:val="00CB0189"/>
    <w:rsid w:val="00CB0BA2"/>
    <w:rsid w:val="00CB1A42"/>
    <w:rsid w:val="00CB1B0C"/>
    <w:rsid w:val="00CB2C0B"/>
    <w:rsid w:val="00CB517D"/>
    <w:rsid w:val="00CB732C"/>
    <w:rsid w:val="00CC038D"/>
    <w:rsid w:val="00CC08CE"/>
    <w:rsid w:val="00CC08DB"/>
    <w:rsid w:val="00CC39FF"/>
    <w:rsid w:val="00CC3C2F"/>
    <w:rsid w:val="00CC4AC8"/>
    <w:rsid w:val="00CC5233"/>
    <w:rsid w:val="00CC5DE6"/>
    <w:rsid w:val="00CC6E4E"/>
    <w:rsid w:val="00CC6FE8"/>
    <w:rsid w:val="00CC7202"/>
    <w:rsid w:val="00CD2808"/>
    <w:rsid w:val="00CD28BF"/>
    <w:rsid w:val="00CD3A22"/>
    <w:rsid w:val="00CD4092"/>
    <w:rsid w:val="00CD4A20"/>
    <w:rsid w:val="00CD50A1"/>
    <w:rsid w:val="00CD519E"/>
    <w:rsid w:val="00CD603F"/>
    <w:rsid w:val="00CE0785"/>
    <w:rsid w:val="00CE0C4F"/>
    <w:rsid w:val="00CE30EA"/>
    <w:rsid w:val="00CF048A"/>
    <w:rsid w:val="00CF155A"/>
    <w:rsid w:val="00CF2947"/>
    <w:rsid w:val="00CF3400"/>
    <w:rsid w:val="00CF64D8"/>
    <w:rsid w:val="00CF686F"/>
    <w:rsid w:val="00CF6E60"/>
    <w:rsid w:val="00CF7BCA"/>
    <w:rsid w:val="00D008FD"/>
    <w:rsid w:val="00D0321C"/>
    <w:rsid w:val="00D033A2"/>
    <w:rsid w:val="00D035EC"/>
    <w:rsid w:val="00D06AB1"/>
    <w:rsid w:val="00D06FC1"/>
    <w:rsid w:val="00D072ED"/>
    <w:rsid w:val="00D07A16"/>
    <w:rsid w:val="00D1067E"/>
    <w:rsid w:val="00D10F50"/>
    <w:rsid w:val="00D11272"/>
    <w:rsid w:val="00D126F5"/>
    <w:rsid w:val="00D1489E"/>
    <w:rsid w:val="00D176FC"/>
    <w:rsid w:val="00D204FD"/>
    <w:rsid w:val="00D20737"/>
    <w:rsid w:val="00D21E81"/>
    <w:rsid w:val="00D223DE"/>
    <w:rsid w:val="00D25E37"/>
    <w:rsid w:val="00D2661A"/>
    <w:rsid w:val="00D27582"/>
    <w:rsid w:val="00D2799D"/>
    <w:rsid w:val="00D27EC4"/>
    <w:rsid w:val="00D32719"/>
    <w:rsid w:val="00D33333"/>
    <w:rsid w:val="00D34909"/>
    <w:rsid w:val="00D352A2"/>
    <w:rsid w:val="00D4162B"/>
    <w:rsid w:val="00D4514F"/>
    <w:rsid w:val="00D451E2"/>
    <w:rsid w:val="00D45E89"/>
    <w:rsid w:val="00D45E8D"/>
    <w:rsid w:val="00D466AE"/>
    <w:rsid w:val="00D4734F"/>
    <w:rsid w:val="00D51BF3"/>
    <w:rsid w:val="00D62F96"/>
    <w:rsid w:val="00D630D8"/>
    <w:rsid w:val="00D66846"/>
    <w:rsid w:val="00D675FB"/>
    <w:rsid w:val="00D71F25"/>
    <w:rsid w:val="00D72A9C"/>
    <w:rsid w:val="00D74D2D"/>
    <w:rsid w:val="00D75CD8"/>
    <w:rsid w:val="00D77031"/>
    <w:rsid w:val="00D84941"/>
    <w:rsid w:val="00D84FA1"/>
    <w:rsid w:val="00D851F0"/>
    <w:rsid w:val="00D86DB7"/>
    <w:rsid w:val="00D87BF5"/>
    <w:rsid w:val="00D90721"/>
    <w:rsid w:val="00D908DE"/>
    <w:rsid w:val="00D926D0"/>
    <w:rsid w:val="00D93030"/>
    <w:rsid w:val="00D93EE3"/>
    <w:rsid w:val="00D950E1"/>
    <w:rsid w:val="00D952A6"/>
    <w:rsid w:val="00D97F99"/>
    <w:rsid w:val="00DA1E08"/>
    <w:rsid w:val="00DA24F8"/>
    <w:rsid w:val="00DA28E8"/>
    <w:rsid w:val="00DA38D3"/>
    <w:rsid w:val="00DA3932"/>
    <w:rsid w:val="00DA3AFC"/>
    <w:rsid w:val="00DA5F25"/>
    <w:rsid w:val="00DA64F8"/>
    <w:rsid w:val="00DA6C15"/>
    <w:rsid w:val="00DB0035"/>
    <w:rsid w:val="00DB0258"/>
    <w:rsid w:val="00DB37C2"/>
    <w:rsid w:val="00DB38EE"/>
    <w:rsid w:val="00DB498B"/>
    <w:rsid w:val="00DB66CA"/>
    <w:rsid w:val="00DB6BCA"/>
    <w:rsid w:val="00DB6F54"/>
    <w:rsid w:val="00DB73F7"/>
    <w:rsid w:val="00DC0321"/>
    <w:rsid w:val="00DC3067"/>
    <w:rsid w:val="00DC370B"/>
    <w:rsid w:val="00DC5B90"/>
    <w:rsid w:val="00DC5EA6"/>
    <w:rsid w:val="00DD00FF"/>
    <w:rsid w:val="00DD0619"/>
    <w:rsid w:val="00DD07FB"/>
    <w:rsid w:val="00DD25C6"/>
    <w:rsid w:val="00DD4C32"/>
    <w:rsid w:val="00DD4FE5"/>
    <w:rsid w:val="00DD54B0"/>
    <w:rsid w:val="00DD57EE"/>
    <w:rsid w:val="00DD6BCC"/>
    <w:rsid w:val="00DE0A4B"/>
    <w:rsid w:val="00DE2410"/>
    <w:rsid w:val="00DE2939"/>
    <w:rsid w:val="00DE6E81"/>
    <w:rsid w:val="00DE703F"/>
    <w:rsid w:val="00DE7595"/>
    <w:rsid w:val="00DF1961"/>
    <w:rsid w:val="00DF27C9"/>
    <w:rsid w:val="00DF44DE"/>
    <w:rsid w:val="00E003FD"/>
    <w:rsid w:val="00E01138"/>
    <w:rsid w:val="00E01286"/>
    <w:rsid w:val="00E013A1"/>
    <w:rsid w:val="00E02DFB"/>
    <w:rsid w:val="00E030F9"/>
    <w:rsid w:val="00E0311A"/>
    <w:rsid w:val="00E03138"/>
    <w:rsid w:val="00E06404"/>
    <w:rsid w:val="00E10661"/>
    <w:rsid w:val="00E11A85"/>
    <w:rsid w:val="00E12495"/>
    <w:rsid w:val="00E140B0"/>
    <w:rsid w:val="00E15CCD"/>
    <w:rsid w:val="00E202EF"/>
    <w:rsid w:val="00E210B5"/>
    <w:rsid w:val="00E24B7E"/>
    <w:rsid w:val="00E2552F"/>
    <w:rsid w:val="00E257F1"/>
    <w:rsid w:val="00E3137A"/>
    <w:rsid w:val="00E32CCF"/>
    <w:rsid w:val="00E3339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17"/>
    <w:rsid w:val="00E60C63"/>
    <w:rsid w:val="00E62FF9"/>
    <w:rsid w:val="00E635D6"/>
    <w:rsid w:val="00E639BC"/>
    <w:rsid w:val="00E664CC"/>
    <w:rsid w:val="00E70388"/>
    <w:rsid w:val="00E70F92"/>
    <w:rsid w:val="00E7384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4BDF"/>
    <w:rsid w:val="00E95D13"/>
    <w:rsid w:val="00E95DD3"/>
    <w:rsid w:val="00E969D5"/>
    <w:rsid w:val="00EA045A"/>
    <w:rsid w:val="00EA2CB3"/>
    <w:rsid w:val="00EA3516"/>
    <w:rsid w:val="00EA351A"/>
    <w:rsid w:val="00EA44F7"/>
    <w:rsid w:val="00EA58D1"/>
    <w:rsid w:val="00EA61BC"/>
    <w:rsid w:val="00EA681A"/>
    <w:rsid w:val="00EA735B"/>
    <w:rsid w:val="00EB05FA"/>
    <w:rsid w:val="00EB12A8"/>
    <w:rsid w:val="00EB1E69"/>
    <w:rsid w:val="00EB2086"/>
    <w:rsid w:val="00EB31ED"/>
    <w:rsid w:val="00EB5EDF"/>
    <w:rsid w:val="00EB60FE"/>
    <w:rsid w:val="00EB64EF"/>
    <w:rsid w:val="00EB74DB"/>
    <w:rsid w:val="00EC5359"/>
    <w:rsid w:val="00EC562A"/>
    <w:rsid w:val="00EC6002"/>
    <w:rsid w:val="00ED067A"/>
    <w:rsid w:val="00ED26D4"/>
    <w:rsid w:val="00ED2B50"/>
    <w:rsid w:val="00ED342C"/>
    <w:rsid w:val="00EE0350"/>
    <w:rsid w:val="00EE0719"/>
    <w:rsid w:val="00EE0E80"/>
    <w:rsid w:val="00EE613F"/>
    <w:rsid w:val="00EE66EE"/>
    <w:rsid w:val="00EE7295"/>
    <w:rsid w:val="00EE7800"/>
    <w:rsid w:val="00EE7869"/>
    <w:rsid w:val="00EF054A"/>
    <w:rsid w:val="00EF3235"/>
    <w:rsid w:val="00EF72BA"/>
    <w:rsid w:val="00EF7E72"/>
    <w:rsid w:val="00F06D37"/>
    <w:rsid w:val="00F07631"/>
    <w:rsid w:val="00F07B9D"/>
    <w:rsid w:val="00F10D46"/>
    <w:rsid w:val="00F11586"/>
    <w:rsid w:val="00F1183B"/>
    <w:rsid w:val="00F11C9F"/>
    <w:rsid w:val="00F12263"/>
    <w:rsid w:val="00F1409D"/>
    <w:rsid w:val="00F14214"/>
    <w:rsid w:val="00F14D0A"/>
    <w:rsid w:val="00F157A9"/>
    <w:rsid w:val="00F16F00"/>
    <w:rsid w:val="00F17A8D"/>
    <w:rsid w:val="00F25995"/>
    <w:rsid w:val="00F25BB6"/>
    <w:rsid w:val="00F26B7E"/>
    <w:rsid w:val="00F27A3B"/>
    <w:rsid w:val="00F314D3"/>
    <w:rsid w:val="00F32780"/>
    <w:rsid w:val="00F33817"/>
    <w:rsid w:val="00F40D3F"/>
    <w:rsid w:val="00F420D5"/>
    <w:rsid w:val="00F451EA"/>
    <w:rsid w:val="00F45447"/>
    <w:rsid w:val="00F456C6"/>
    <w:rsid w:val="00F4577B"/>
    <w:rsid w:val="00F46496"/>
    <w:rsid w:val="00F474D0"/>
    <w:rsid w:val="00F50179"/>
    <w:rsid w:val="00F511C8"/>
    <w:rsid w:val="00F515EE"/>
    <w:rsid w:val="00F56511"/>
    <w:rsid w:val="00F6194E"/>
    <w:rsid w:val="00F623AC"/>
    <w:rsid w:val="00F6412A"/>
    <w:rsid w:val="00F65893"/>
    <w:rsid w:val="00F66A4A"/>
    <w:rsid w:val="00F71E22"/>
    <w:rsid w:val="00F72142"/>
    <w:rsid w:val="00F72AE7"/>
    <w:rsid w:val="00F7354D"/>
    <w:rsid w:val="00F7531C"/>
    <w:rsid w:val="00F833BA"/>
    <w:rsid w:val="00F84FD0"/>
    <w:rsid w:val="00F859A8"/>
    <w:rsid w:val="00F86CCA"/>
    <w:rsid w:val="00F86D87"/>
    <w:rsid w:val="00F9080E"/>
    <w:rsid w:val="00F9108B"/>
    <w:rsid w:val="00F91349"/>
    <w:rsid w:val="00F91537"/>
    <w:rsid w:val="00F93A8A"/>
    <w:rsid w:val="00F95248"/>
    <w:rsid w:val="00F956A9"/>
    <w:rsid w:val="00F963ED"/>
    <w:rsid w:val="00F966CF"/>
    <w:rsid w:val="00F96CAE"/>
    <w:rsid w:val="00F97C99"/>
    <w:rsid w:val="00FA662D"/>
    <w:rsid w:val="00FA6C56"/>
    <w:rsid w:val="00FA73B1"/>
    <w:rsid w:val="00FB0CB9"/>
    <w:rsid w:val="00FB1BCF"/>
    <w:rsid w:val="00FB231D"/>
    <w:rsid w:val="00FB45F1"/>
    <w:rsid w:val="00FB4A72"/>
    <w:rsid w:val="00FB54E8"/>
    <w:rsid w:val="00FB7054"/>
    <w:rsid w:val="00FB7616"/>
    <w:rsid w:val="00FB7BD8"/>
    <w:rsid w:val="00FC17B7"/>
    <w:rsid w:val="00FC2CB7"/>
    <w:rsid w:val="00FC4090"/>
    <w:rsid w:val="00FC4232"/>
    <w:rsid w:val="00FC55B4"/>
    <w:rsid w:val="00FD00E6"/>
    <w:rsid w:val="00FD09A1"/>
    <w:rsid w:val="00FD290B"/>
    <w:rsid w:val="00FD2A7C"/>
    <w:rsid w:val="00FD35D5"/>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8296529"/>
    <w:rsid w:val="0A024A4B"/>
    <w:rsid w:val="0BDE0991"/>
    <w:rsid w:val="10004765"/>
    <w:rsid w:val="1CCD22E8"/>
    <w:rsid w:val="1E594AB9"/>
    <w:rsid w:val="317719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8"/>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9"/>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40"/>
    <w:qFormat/>
    <w:uiPriority w:val="0"/>
    <w:pPr>
      <w:keepNext/>
      <w:keepLines/>
      <w:spacing w:before="260" w:after="260" w:line="416" w:lineRule="auto"/>
      <w:outlineLvl w:val="2"/>
    </w:pPr>
    <w:rPr>
      <w:b/>
      <w:bCs/>
      <w:sz w:val="32"/>
      <w:szCs w:val="32"/>
    </w:rPr>
  </w:style>
  <w:style w:type="paragraph" w:styleId="5">
    <w:name w:val="heading 4"/>
    <w:basedOn w:val="1"/>
    <w:next w:val="1"/>
    <w:link w:val="4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2"/>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3"/>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4"/>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5"/>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6"/>
    <w:qFormat/>
    <w:uiPriority w:val="0"/>
    <w:pPr>
      <w:keepNext/>
      <w:keepLines/>
      <w:adjustRightInd/>
      <w:spacing w:before="240" w:after="64" w:line="320" w:lineRule="auto"/>
      <w:outlineLvl w:val="8"/>
    </w:pPr>
    <w:rPr>
      <w:rFonts w:ascii="Arial" w:hAnsi="Arial" w:eastAsia="黑体"/>
    </w:rPr>
  </w:style>
  <w:style w:type="character" w:default="1" w:styleId="30">
    <w:name w:val="Default Paragraph Font"/>
    <w:semiHidden/>
    <w:unhideWhenUsed/>
    <w:uiPriority w:val="1"/>
  </w:style>
  <w:style w:type="table" w:default="1" w:styleId="28">
    <w:name w:val="Normal Table"/>
    <w:semiHidden/>
    <w:unhideWhenUsed/>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link w:val="242"/>
    <w:semiHidden/>
    <w:unhideWhenUsed/>
    <w:qFormat/>
    <w:uiPriority w:val="99"/>
    <w:pPr>
      <w:jc w:val="left"/>
    </w:pPr>
  </w:style>
  <w:style w:type="paragraph" w:styleId="14">
    <w:name w:val="Body Text"/>
    <w:basedOn w:val="1"/>
    <w:link w:val="90"/>
    <w:qFormat/>
    <w:uiPriority w:val="0"/>
    <w:pPr>
      <w:spacing w:after="120"/>
    </w:pPr>
  </w:style>
  <w:style w:type="paragraph" w:styleId="15">
    <w:name w:val="toc 5"/>
    <w:basedOn w:val="1"/>
    <w:next w:val="1"/>
    <w:unhideWhenUsed/>
    <w:qFormat/>
    <w:uiPriority w:val="39"/>
    <w:pPr>
      <w:ind w:left="839"/>
    </w:pPr>
    <w:rPr>
      <w:rFonts w:ascii="宋体"/>
    </w:rPr>
  </w:style>
  <w:style w:type="paragraph" w:styleId="16">
    <w:name w:val="toc 3"/>
    <w:basedOn w:val="1"/>
    <w:next w:val="1"/>
    <w:unhideWhenUsed/>
    <w:qFormat/>
    <w:uiPriority w:val="39"/>
    <w:pPr>
      <w:spacing w:line="300" w:lineRule="exact"/>
      <w:ind w:left="420"/>
    </w:pPr>
    <w:rPr>
      <w:rFonts w:ascii="宋体"/>
    </w:rPr>
  </w:style>
  <w:style w:type="paragraph" w:styleId="17">
    <w:name w:val="Balloon Text"/>
    <w:basedOn w:val="1"/>
    <w:link w:val="49"/>
    <w:semiHidden/>
    <w:unhideWhenUsed/>
    <w:qFormat/>
    <w:uiPriority w:val="99"/>
    <w:rPr>
      <w:sz w:val="18"/>
      <w:szCs w:val="18"/>
    </w:rPr>
  </w:style>
  <w:style w:type="paragraph" w:styleId="18">
    <w:name w:val="footer"/>
    <w:basedOn w:val="1"/>
    <w:link w:val="48"/>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7"/>
    <w:qFormat/>
    <w:uiPriority w:val="99"/>
    <w:pPr>
      <w:tabs>
        <w:tab w:val="center" w:pos="4153"/>
        <w:tab w:val="right" w:pos="8306"/>
      </w:tabs>
      <w:adjustRightInd/>
      <w:snapToGrid w:val="0"/>
      <w:jc w:val="center"/>
    </w:pPr>
    <w:rPr>
      <w:sz w:val="18"/>
      <w:szCs w:val="18"/>
    </w:rPr>
  </w:style>
  <w:style w:type="paragraph" w:styleId="20">
    <w:name w:val="toc 1"/>
    <w:basedOn w:val="1"/>
    <w:next w:val="1"/>
    <w:unhideWhenUsed/>
    <w:qFormat/>
    <w:uiPriority w:val="39"/>
    <w:rPr>
      <w:rFonts w:ascii="宋体"/>
    </w:rPr>
  </w:style>
  <w:style w:type="paragraph" w:styleId="21">
    <w:name w:val="toc 4"/>
    <w:basedOn w:val="1"/>
    <w:next w:val="1"/>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3"/>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unhideWhenUsed/>
    <w:qFormat/>
    <w:uiPriority w:val="39"/>
    <w:pPr>
      <w:tabs>
        <w:tab w:val="right" w:leader="dot" w:pos="9344"/>
      </w:tabs>
      <w:spacing w:line="300" w:lineRule="exact"/>
      <w:ind w:left="210"/>
    </w:pPr>
    <w:rPr>
      <w:rFonts w:ascii="宋体"/>
    </w:rPr>
  </w:style>
  <w:style w:type="paragraph" w:styleId="26">
    <w:name w:val="Title"/>
    <w:basedOn w:val="1"/>
    <w:link w:val="52"/>
    <w:qFormat/>
    <w:uiPriority w:val="0"/>
    <w:pPr>
      <w:spacing w:before="240" w:after="60"/>
      <w:jc w:val="center"/>
      <w:outlineLvl w:val="0"/>
    </w:pPr>
    <w:rPr>
      <w:rFonts w:ascii="Arial" w:hAnsi="Arial" w:cs="Arial"/>
      <w:b/>
      <w:bCs/>
      <w:sz w:val="32"/>
      <w:szCs w:val="32"/>
    </w:rPr>
  </w:style>
  <w:style w:type="paragraph" w:styleId="27">
    <w:name w:val="annotation subject"/>
    <w:basedOn w:val="13"/>
    <w:next w:val="13"/>
    <w:link w:val="243"/>
    <w:semiHidden/>
    <w:unhideWhenUsed/>
    <w:qFormat/>
    <w:uiPriority w:val="99"/>
    <w:rPr>
      <w:b/>
      <w:bCs/>
    </w:rPr>
  </w:style>
  <w:style w:type="table" w:styleId="29">
    <w:name w:val="Table Grid"/>
    <w:basedOn w:val="28"/>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qFormat/>
    <w:uiPriority w:val="22"/>
    <w:rPr>
      <w:b/>
      <w:bCs/>
    </w:rPr>
  </w:style>
  <w:style w:type="character" w:styleId="32">
    <w:name w:val="page number"/>
    <w:qFormat/>
    <w:uiPriority w:val="0"/>
    <w:rPr>
      <w:rFonts w:ascii="宋体" w:hAnsi="Times New Roman" w:eastAsia="宋体"/>
      <w:sz w:val="18"/>
    </w:rPr>
  </w:style>
  <w:style w:type="character" w:styleId="33">
    <w:name w:val="FollowedHyperlink"/>
    <w:basedOn w:val="30"/>
    <w:semiHidden/>
    <w:unhideWhenUsed/>
    <w:qFormat/>
    <w:uiPriority w:val="99"/>
    <w:rPr>
      <w:color w:val="954F72" w:themeColor="followedHyperlink"/>
      <w:u w:val="single"/>
      <w14:textFill>
        <w14:solidFill>
          <w14:schemeClr w14:val="folHlink"/>
        </w14:solidFill>
      </w14:textFill>
    </w:rPr>
  </w:style>
  <w:style w:type="character" w:styleId="34">
    <w:name w:val="Emphasis"/>
    <w:qFormat/>
    <w:uiPriority w:val="20"/>
    <w:rPr>
      <w:i/>
      <w:iCs/>
    </w:rPr>
  </w:style>
  <w:style w:type="character" w:styleId="35">
    <w:name w:val="Hyperlink"/>
    <w:qFormat/>
    <w:uiPriority w:val="99"/>
    <w:rPr>
      <w:rFonts w:ascii="宋体" w:hAnsi="Times New Roman" w:eastAsia="宋体"/>
      <w:color w:val="auto"/>
      <w:spacing w:val="0"/>
      <w:w w:val="100"/>
      <w:position w:val="0"/>
      <w:sz w:val="21"/>
      <w:u w:val="none"/>
      <w:vertAlign w:val="baseline"/>
    </w:rPr>
  </w:style>
  <w:style w:type="character" w:styleId="36">
    <w:name w:val="annotation reference"/>
    <w:basedOn w:val="30"/>
    <w:semiHidden/>
    <w:unhideWhenUsed/>
    <w:qFormat/>
    <w:uiPriority w:val="99"/>
    <w:rPr>
      <w:sz w:val="21"/>
      <w:szCs w:val="21"/>
    </w:rPr>
  </w:style>
  <w:style w:type="character" w:styleId="37">
    <w:name w:val="footnote reference"/>
    <w:semiHidden/>
    <w:qFormat/>
    <w:uiPriority w:val="0"/>
    <w:rPr>
      <w:rFonts w:ascii="宋体" w:hAnsi="宋体" w:eastAsia="宋体" w:cs="Times New Roman"/>
      <w:spacing w:val="0"/>
      <w:sz w:val="18"/>
      <w:vertAlign w:val="superscript"/>
    </w:rPr>
  </w:style>
  <w:style w:type="character" w:customStyle="1" w:styleId="38">
    <w:name w:val="标题 1 字符"/>
    <w:link w:val="2"/>
    <w:qFormat/>
    <w:uiPriority w:val="0"/>
    <w:rPr>
      <w:b/>
      <w:bCs/>
      <w:kern w:val="44"/>
      <w:sz w:val="44"/>
      <w:szCs w:val="44"/>
    </w:rPr>
  </w:style>
  <w:style w:type="character" w:customStyle="1" w:styleId="39">
    <w:name w:val="标题 2 字符"/>
    <w:link w:val="3"/>
    <w:qFormat/>
    <w:uiPriority w:val="0"/>
    <w:rPr>
      <w:rFonts w:ascii="Arial" w:hAnsi="Arial" w:eastAsia="黑体"/>
      <w:b/>
      <w:bCs/>
      <w:kern w:val="2"/>
      <w:sz w:val="32"/>
      <w:szCs w:val="32"/>
    </w:rPr>
  </w:style>
  <w:style w:type="character" w:customStyle="1" w:styleId="40">
    <w:name w:val="标题 3 字符"/>
    <w:link w:val="4"/>
    <w:uiPriority w:val="0"/>
    <w:rPr>
      <w:b/>
      <w:bCs/>
      <w:kern w:val="2"/>
      <w:sz w:val="32"/>
      <w:szCs w:val="32"/>
    </w:rPr>
  </w:style>
  <w:style w:type="character" w:customStyle="1" w:styleId="41">
    <w:name w:val="标题 4 字符"/>
    <w:link w:val="5"/>
    <w:qFormat/>
    <w:uiPriority w:val="0"/>
    <w:rPr>
      <w:rFonts w:ascii="Arial" w:hAnsi="Arial" w:eastAsia="黑体"/>
      <w:b/>
      <w:bCs/>
      <w:kern w:val="2"/>
      <w:sz w:val="28"/>
      <w:szCs w:val="28"/>
    </w:rPr>
  </w:style>
  <w:style w:type="character" w:customStyle="1" w:styleId="42">
    <w:name w:val="标题 5 字符"/>
    <w:link w:val="6"/>
    <w:qFormat/>
    <w:uiPriority w:val="0"/>
    <w:rPr>
      <w:b/>
      <w:bCs/>
      <w:kern w:val="2"/>
      <w:sz w:val="28"/>
      <w:szCs w:val="28"/>
    </w:rPr>
  </w:style>
  <w:style w:type="character" w:customStyle="1" w:styleId="43">
    <w:name w:val="标题 6 字符"/>
    <w:link w:val="7"/>
    <w:qFormat/>
    <w:uiPriority w:val="0"/>
    <w:rPr>
      <w:rFonts w:ascii="Arial" w:hAnsi="Arial" w:eastAsia="黑体"/>
      <w:b/>
      <w:bCs/>
      <w:kern w:val="2"/>
      <w:sz w:val="24"/>
      <w:szCs w:val="24"/>
    </w:rPr>
  </w:style>
  <w:style w:type="character" w:customStyle="1" w:styleId="44">
    <w:name w:val="标题 7 字符"/>
    <w:link w:val="8"/>
    <w:qFormat/>
    <w:uiPriority w:val="0"/>
    <w:rPr>
      <w:b/>
      <w:bCs/>
      <w:kern w:val="2"/>
      <w:sz w:val="24"/>
      <w:szCs w:val="24"/>
    </w:rPr>
  </w:style>
  <w:style w:type="character" w:customStyle="1" w:styleId="45">
    <w:name w:val="标题 8 字符"/>
    <w:link w:val="9"/>
    <w:qFormat/>
    <w:uiPriority w:val="0"/>
    <w:rPr>
      <w:rFonts w:ascii="Arial" w:hAnsi="Arial" w:eastAsia="黑体"/>
      <w:kern w:val="2"/>
      <w:sz w:val="24"/>
      <w:szCs w:val="24"/>
    </w:rPr>
  </w:style>
  <w:style w:type="character" w:customStyle="1" w:styleId="46">
    <w:name w:val="标题 9 字符"/>
    <w:link w:val="10"/>
    <w:qFormat/>
    <w:uiPriority w:val="0"/>
    <w:rPr>
      <w:rFonts w:ascii="Arial" w:hAnsi="Arial" w:eastAsia="黑体"/>
      <w:kern w:val="2"/>
      <w:sz w:val="21"/>
      <w:szCs w:val="21"/>
    </w:rPr>
  </w:style>
  <w:style w:type="character" w:customStyle="1" w:styleId="47">
    <w:name w:val="页眉 字符"/>
    <w:link w:val="19"/>
    <w:qFormat/>
    <w:uiPriority w:val="99"/>
    <w:rPr>
      <w:kern w:val="2"/>
      <w:sz w:val="18"/>
      <w:szCs w:val="18"/>
    </w:rPr>
  </w:style>
  <w:style w:type="character" w:customStyle="1" w:styleId="48">
    <w:name w:val="页脚 字符"/>
    <w:link w:val="18"/>
    <w:qFormat/>
    <w:uiPriority w:val="99"/>
    <w:rPr>
      <w:rFonts w:ascii="宋体"/>
      <w:kern w:val="2"/>
      <w:sz w:val="18"/>
      <w:szCs w:val="18"/>
    </w:rPr>
  </w:style>
  <w:style w:type="character" w:customStyle="1" w:styleId="49">
    <w:name w:val="批注框文本 字符"/>
    <w:link w:val="17"/>
    <w:semiHidden/>
    <w:qFormat/>
    <w:uiPriority w:val="99"/>
    <w:rPr>
      <w:kern w:val="2"/>
      <w:sz w:val="18"/>
      <w:szCs w:val="18"/>
    </w:rPr>
  </w:style>
  <w:style w:type="paragraph" w:styleId="50">
    <w:name w:val="Quote"/>
    <w:basedOn w:val="1"/>
    <w:next w:val="1"/>
    <w:link w:val="51"/>
    <w:qFormat/>
    <w:uiPriority w:val="29"/>
    <w:rPr>
      <w:i/>
      <w:iCs/>
      <w:color w:val="000000"/>
    </w:rPr>
  </w:style>
  <w:style w:type="character" w:customStyle="1" w:styleId="51">
    <w:name w:val="引用 字符"/>
    <w:link w:val="50"/>
    <w:qFormat/>
    <w:uiPriority w:val="29"/>
    <w:rPr>
      <w:i/>
      <w:iCs/>
      <w:color w:val="000000"/>
      <w:kern w:val="2"/>
      <w:sz w:val="21"/>
      <w:szCs w:val="21"/>
    </w:rPr>
  </w:style>
  <w:style w:type="character" w:customStyle="1" w:styleId="52">
    <w:name w:val="标题 字符"/>
    <w:link w:val="26"/>
    <w:qFormat/>
    <w:uiPriority w:val="0"/>
    <w:rPr>
      <w:rFonts w:ascii="Arial" w:hAnsi="Arial" w:cs="Arial"/>
      <w:b/>
      <w:bCs/>
      <w:kern w:val="2"/>
      <w:sz w:val="32"/>
      <w:szCs w:val="32"/>
    </w:rPr>
  </w:style>
  <w:style w:type="paragraph" w:customStyle="1" w:styleId="53">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4">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5">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6">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7">
    <w:name w:val="标准书眉一"/>
    <w:qFormat/>
    <w:uiPriority w:val="0"/>
    <w:pPr>
      <w:jc w:val="both"/>
    </w:pPr>
    <w:rPr>
      <w:rFonts w:ascii="Times New Roman" w:hAnsi="Times New Roman" w:eastAsia="宋体" w:cs="Times New Roman"/>
      <w:lang w:val="en-US" w:eastAsia="zh-CN" w:bidi="ar-SA"/>
    </w:rPr>
  </w:style>
  <w:style w:type="paragraph" w:customStyle="1" w:styleId="58">
    <w:name w:val="标准文件_ICS"/>
    <w:basedOn w:val="1"/>
    <w:qFormat/>
    <w:uiPriority w:val="0"/>
    <w:pPr>
      <w:spacing w:line="0" w:lineRule="atLeast"/>
    </w:pPr>
    <w:rPr>
      <w:rFonts w:ascii="黑体" w:hAnsi="宋体" w:eastAsia="黑体"/>
    </w:rPr>
  </w:style>
  <w:style w:type="paragraph" w:customStyle="1" w:styleId="59">
    <w:name w:val="标准文件_标准正文"/>
    <w:basedOn w:val="1"/>
    <w:next w:val="60"/>
    <w:qFormat/>
    <w:uiPriority w:val="0"/>
    <w:pPr>
      <w:snapToGrid w:val="0"/>
      <w:ind w:firstLine="200" w:firstLineChars="200"/>
    </w:pPr>
    <w:rPr>
      <w:kern w:val="0"/>
    </w:rPr>
  </w:style>
  <w:style w:type="paragraph" w:customStyle="1" w:styleId="60">
    <w:name w:val="标准文件_段"/>
    <w:link w:val="188"/>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1">
    <w:name w:val="标准文件_版本"/>
    <w:basedOn w:val="59"/>
    <w:qFormat/>
    <w:uiPriority w:val="0"/>
    <w:pPr>
      <w:adjustRightInd/>
      <w:snapToGrid/>
      <w:ind w:firstLine="0" w:firstLineChars="0"/>
    </w:pPr>
    <w:rPr>
      <w:rFonts w:ascii="宋体" w:hAnsi="宋体"/>
      <w:kern w:val="2"/>
    </w:rPr>
  </w:style>
  <w:style w:type="paragraph" w:customStyle="1" w:styleId="62">
    <w:name w:val="标准文件_标准部门"/>
    <w:basedOn w:val="1"/>
    <w:qFormat/>
    <w:uiPriority w:val="0"/>
    <w:pPr>
      <w:jc w:val="center"/>
    </w:pPr>
    <w:rPr>
      <w:rFonts w:ascii="黑体" w:eastAsia="黑体"/>
      <w:kern w:val="0"/>
      <w:sz w:val="44"/>
    </w:rPr>
  </w:style>
  <w:style w:type="paragraph" w:customStyle="1" w:styleId="63">
    <w:name w:val="标准文件_标准代替"/>
    <w:basedOn w:val="1"/>
    <w:next w:val="1"/>
    <w:qFormat/>
    <w:uiPriority w:val="0"/>
    <w:pPr>
      <w:spacing w:line="310" w:lineRule="exact"/>
      <w:jc w:val="right"/>
    </w:pPr>
    <w:rPr>
      <w:rFonts w:ascii="宋体" w:hAnsi="宋体"/>
      <w:kern w:val="0"/>
    </w:rPr>
  </w:style>
  <w:style w:type="paragraph" w:customStyle="1" w:styleId="64">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5">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6">
    <w:name w:val="标准文件_页眉偶数页"/>
    <w:basedOn w:val="65"/>
    <w:next w:val="1"/>
    <w:qFormat/>
    <w:uiPriority w:val="0"/>
    <w:pPr>
      <w:jc w:val="left"/>
    </w:pPr>
  </w:style>
  <w:style w:type="paragraph" w:customStyle="1" w:styleId="67">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68">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9">
    <w:name w:val="标准文件_二级条标题"/>
    <w:next w:val="60"/>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70">
    <w:name w:val="标准文件_发布"/>
    <w:qFormat/>
    <w:uiPriority w:val="0"/>
    <w:rPr>
      <w:rFonts w:ascii="黑体" w:eastAsia="黑体"/>
      <w:spacing w:val="0"/>
      <w:w w:val="100"/>
      <w:position w:val="3"/>
      <w:sz w:val="28"/>
    </w:rPr>
  </w:style>
  <w:style w:type="paragraph" w:customStyle="1" w:styleId="71">
    <w:name w:val="标准文件_方框数字列项"/>
    <w:basedOn w:val="60"/>
    <w:qFormat/>
    <w:uiPriority w:val="0"/>
    <w:pPr>
      <w:numPr>
        <w:ilvl w:val="0"/>
        <w:numId w:val="3"/>
      </w:numPr>
      <w:ind w:firstLine="0" w:firstLineChars="0"/>
    </w:pPr>
  </w:style>
  <w:style w:type="paragraph" w:customStyle="1" w:styleId="72">
    <w:name w:val="标准文件_封面标准编号"/>
    <w:basedOn w:val="1"/>
    <w:next w:val="63"/>
    <w:qFormat/>
    <w:uiPriority w:val="0"/>
    <w:pPr>
      <w:spacing w:line="310" w:lineRule="exact"/>
      <w:jc w:val="right"/>
    </w:pPr>
    <w:rPr>
      <w:rFonts w:ascii="黑体" w:eastAsia="黑体"/>
      <w:kern w:val="0"/>
      <w:sz w:val="28"/>
    </w:rPr>
  </w:style>
  <w:style w:type="paragraph" w:customStyle="1" w:styleId="73">
    <w:name w:val="标准文件_封面标准分类号"/>
    <w:basedOn w:val="1"/>
    <w:qFormat/>
    <w:uiPriority w:val="0"/>
    <w:rPr>
      <w:rFonts w:ascii="黑体" w:eastAsia="黑体"/>
      <w:b/>
      <w:kern w:val="0"/>
      <w:sz w:val="28"/>
    </w:rPr>
  </w:style>
  <w:style w:type="paragraph" w:customStyle="1" w:styleId="74">
    <w:name w:val="标准文件_封面标准名称"/>
    <w:basedOn w:val="1"/>
    <w:qFormat/>
    <w:uiPriority w:val="0"/>
    <w:pPr>
      <w:spacing w:line="240" w:lineRule="auto"/>
      <w:jc w:val="center"/>
    </w:pPr>
    <w:rPr>
      <w:rFonts w:ascii="黑体" w:eastAsia="黑体"/>
      <w:kern w:val="0"/>
      <w:sz w:val="52"/>
    </w:rPr>
  </w:style>
  <w:style w:type="paragraph" w:customStyle="1" w:styleId="75">
    <w:name w:val="标准文件_封面标准英文名称"/>
    <w:basedOn w:val="1"/>
    <w:qFormat/>
    <w:uiPriority w:val="0"/>
    <w:pPr>
      <w:spacing w:line="240" w:lineRule="auto"/>
      <w:jc w:val="center"/>
    </w:pPr>
    <w:rPr>
      <w:rFonts w:ascii="黑体" w:eastAsia="黑体"/>
      <w:b/>
      <w:sz w:val="28"/>
    </w:rPr>
  </w:style>
  <w:style w:type="paragraph" w:customStyle="1" w:styleId="76">
    <w:name w:val="标准文件_封面发布日期"/>
    <w:basedOn w:val="1"/>
    <w:qFormat/>
    <w:uiPriority w:val="0"/>
    <w:pPr>
      <w:spacing w:line="310" w:lineRule="exact"/>
    </w:pPr>
    <w:rPr>
      <w:rFonts w:ascii="黑体" w:eastAsia="黑体"/>
      <w:kern w:val="0"/>
      <w:sz w:val="28"/>
    </w:rPr>
  </w:style>
  <w:style w:type="paragraph" w:customStyle="1" w:styleId="77">
    <w:name w:val="标准文件_封面密级"/>
    <w:basedOn w:val="1"/>
    <w:qFormat/>
    <w:uiPriority w:val="0"/>
    <w:rPr>
      <w:rFonts w:eastAsia="黑体"/>
      <w:sz w:val="32"/>
    </w:rPr>
  </w:style>
  <w:style w:type="paragraph" w:customStyle="1" w:styleId="78">
    <w:name w:val="标准文件_封面实施日期"/>
    <w:basedOn w:val="1"/>
    <w:qFormat/>
    <w:uiPriority w:val="0"/>
    <w:pPr>
      <w:spacing w:line="310" w:lineRule="exact"/>
      <w:jc w:val="right"/>
    </w:pPr>
    <w:rPr>
      <w:rFonts w:ascii="黑体" w:eastAsia="黑体"/>
      <w:sz w:val="28"/>
    </w:rPr>
  </w:style>
  <w:style w:type="paragraph" w:customStyle="1" w:styleId="79">
    <w:name w:val="标准文件_封面抬头"/>
    <w:basedOn w:val="60"/>
    <w:qFormat/>
    <w:uiPriority w:val="0"/>
    <w:pPr>
      <w:adjustRightInd w:val="0"/>
      <w:spacing w:line="800" w:lineRule="exact"/>
      <w:ind w:firstLine="0" w:firstLineChars="0"/>
      <w:jc w:val="distribute"/>
    </w:pPr>
    <w:rPr>
      <w:rFonts w:ascii="黑体" w:eastAsia="黑体"/>
      <w:b/>
      <w:sz w:val="64"/>
    </w:rPr>
  </w:style>
  <w:style w:type="paragraph" w:customStyle="1" w:styleId="80">
    <w:name w:val="标准文件_附录标识"/>
    <w:next w:val="60"/>
    <w:qFormat/>
    <w:uiPriority w:val="0"/>
    <w:p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81">
    <w:name w:val="标准文件_附录表标题"/>
    <w:next w:val="60"/>
    <w:qFormat/>
    <w:uiPriority w:val="0"/>
    <w:pPr>
      <w:numPr>
        <w:ilvl w:val="1"/>
        <w:numId w:val="4"/>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82">
    <w:name w:val="标准文件_附录一级条标题"/>
    <w:next w:val="60"/>
    <w:qFormat/>
    <w:uiPriority w:val="0"/>
    <w:pPr>
      <w:widowControl w:val="0"/>
      <w:numPr>
        <w:ilvl w:val="1"/>
        <w:numId w:val="5"/>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3">
    <w:name w:val="标准文件_附录二级条标题"/>
    <w:basedOn w:val="82"/>
    <w:next w:val="60"/>
    <w:qFormat/>
    <w:uiPriority w:val="0"/>
    <w:pPr>
      <w:widowControl/>
      <w:numPr>
        <w:ilvl w:val="2"/>
      </w:numPr>
      <w:wordWrap w:val="0"/>
      <w:overflowPunct w:val="0"/>
      <w:autoSpaceDE w:val="0"/>
      <w:autoSpaceDN w:val="0"/>
      <w:textAlignment w:val="baseline"/>
      <w:outlineLvl w:val="3"/>
    </w:pPr>
  </w:style>
  <w:style w:type="paragraph" w:customStyle="1" w:styleId="84">
    <w:name w:val="标准文件_附录公式"/>
    <w:basedOn w:val="59"/>
    <w:next w:val="59"/>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5">
    <w:name w:val="标准文件_附录三级条标题"/>
    <w:next w:val="60"/>
    <w:qFormat/>
    <w:uiPriority w:val="0"/>
    <w:pPr>
      <w:widowControl w:val="0"/>
      <w:numPr>
        <w:ilvl w:val="3"/>
        <w:numId w:val="5"/>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6">
    <w:name w:val="标准文件_附录四级条标题"/>
    <w:next w:val="60"/>
    <w:qFormat/>
    <w:uiPriority w:val="0"/>
    <w:pPr>
      <w:widowControl w:val="0"/>
      <w:numPr>
        <w:ilvl w:val="4"/>
        <w:numId w:val="5"/>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7">
    <w:name w:val="标准文件_附录图标题"/>
    <w:next w:val="60"/>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8">
    <w:name w:val="标准文件_附录五级条标题"/>
    <w:next w:val="60"/>
    <w:qFormat/>
    <w:uiPriority w:val="0"/>
    <w:pPr>
      <w:widowControl w:val="0"/>
      <w:numPr>
        <w:ilvl w:val="5"/>
        <w:numId w:val="5"/>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9">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90">
    <w:name w:val="正文文本 字符"/>
    <w:link w:val="14"/>
    <w:qFormat/>
    <w:uiPriority w:val="0"/>
    <w:rPr>
      <w:kern w:val="2"/>
      <w:sz w:val="21"/>
      <w:szCs w:val="21"/>
    </w:rPr>
  </w:style>
  <w:style w:type="paragraph" w:customStyle="1" w:styleId="91">
    <w:name w:val="标准文件_附录章标题"/>
    <w:next w:val="60"/>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2">
    <w:name w:val="标准文件_公式后的破折号"/>
    <w:basedOn w:val="60"/>
    <w:next w:val="60"/>
    <w:qFormat/>
    <w:uiPriority w:val="0"/>
    <w:pPr>
      <w:ind w:left="488" w:leftChars="200" w:hanging="289" w:hangingChars="290"/>
    </w:pPr>
  </w:style>
  <w:style w:type="paragraph" w:customStyle="1" w:styleId="93">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4">
    <w:name w:val="标准文件_目次、标准名称标题"/>
    <w:basedOn w:val="93"/>
    <w:next w:val="60"/>
    <w:qFormat/>
    <w:uiPriority w:val="0"/>
    <w:pPr>
      <w:spacing w:line="460" w:lineRule="exact"/>
      <w:ind w:left="0" w:firstLine="0"/>
    </w:pPr>
  </w:style>
  <w:style w:type="paragraph" w:customStyle="1" w:styleId="95">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6">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7">
    <w:name w:val="标准文件_破折号列项（二级）"/>
    <w:basedOn w:val="96"/>
    <w:qFormat/>
    <w:uiPriority w:val="0"/>
    <w:pPr>
      <w:numPr>
        <w:numId w:val="10"/>
      </w:numPr>
    </w:pPr>
  </w:style>
  <w:style w:type="paragraph" w:customStyle="1" w:styleId="98">
    <w:name w:val="标准文件_三级条标题"/>
    <w:basedOn w:val="69"/>
    <w:next w:val="60"/>
    <w:qFormat/>
    <w:uiPriority w:val="0"/>
    <w:pPr>
      <w:widowControl/>
      <w:numPr>
        <w:ilvl w:val="4"/>
      </w:numPr>
      <w:ind w:left="-2694"/>
      <w:outlineLvl w:val="3"/>
    </w:pPr>
  </w:style>
  <w:style w:type="character" w:customStyle="1" w:styleId="99">
    <w:name w:val="不明显参考1"/>
    <w:qFormat/>
    <w:uiPriority w:val="31"/>
    <w:rPr>
      <w:smallCaps/>
      <w:color w:val="C0504D"/>
      <w:u w:val="single"/>
    </w:rPr>
  </w:style>
  <w:style w:type="paragraph" w:customStyle="1" w:styleId="100">
    <w:name w:val="标准文件_示例后续"/>
    <w:basedOn w:val="1"/>
    <w:qFormat/>
    <w:uiPriority w:val="0"/>
    <w:pPr>
      <w:adjustRightInd/>
      <w:spacing w:line="240" w:lineRule="auto"/>
      <w:ind w:firstLine="200" w:firstLineChars="200"/>
    </w:pPr>
    <w:rPr>
      <w:sz w:val="18"/>
      <w:szCs w:val="24"/>
    </w:rPr>
  </w:style>
  <w:style w:type="paragraph" w:customStyle="1" w:styleId="101">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2">
    <w:name w:val="标准文件_四级条标题"/>
    <w:next w:val="60"/>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3">
    <w:name w:val="脚注文本 字符"/>
    <w:link w:val="22"/>
    <w:semiHidden/>
    <w:qFormat/>
    <w:uiPriority w:val="0"/>
    <w:rPr>
      <w:rFonts w:ascii="宋体"/>
      <w:kern w:val="2"/>
      <w:sz w:val="18"/>
      <w:szCs w:val="18"/>
    </w:rPr>
  </w:style>
  <w:style w:type="paragraph" w:customStyle="1" w:styleId="104">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5">
    <w:name w:val="标准文件_图表脚注"/>
    <w:basedOn w:val="1"/>
    <w:next w:val="60"/>
    <w:qFormat/>
    <w:uiPriority w:val="0"/>
    <w:pPr>
      <w:numPr>
        <w:ilvl w:val="0"/>
        <w:numId w:val="12"/>
      </w:numPr>
      <w:spacing w:line="240" w:lineRule="auto"/>
      <w:jc w:val="left"/>
    </w:pPr>
    <w:rPr>
      <w:rFonts w:ascii="宋体" w:hAnsi="宋体"/>
      <w:sz w:val="18"/>
    </w:rPr>
  </w:style>
  <w:style w:type="character" w:customStyle="1" w:styleId="106">
    <w:name w:val="标准文件_图表脚注内容"/>
    <w:qFormat/>
    <w:uiPriority w:val="0"/>
    <w:rPr>
      <w:rFonts w:ascii="宋体" w:hAnsi="宋体" w:eastAsia="宋体" w:cs="Times New Roman"/>
      <w:spacing w:val="0"/>
      <w:sz w:val="18"/>
      <w:vertAlign w:val="superscript"/>
    </w:rPr>
  </w:style>
  <w:style w:type="paragraph" w:customStyle="1" w:styleId="107">
    <w:name w:val="标准文件_五级条标题"/>
    <w:next w:val="60"/>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8">
    <w:name w:val="标准文件_章标题"/>
    <w:next w:val="60"/>
    <w:qFormat/>
    <w:uiPriority w:val="0"/>
    <w:pPr>
      <w:numPr>
        <w:ilvl w:val="1"/>
        <w:numId w:val="2"/>
      </w:numPr>
      <w:spacing w:before="100" w:beforeLines="100" w:after="100" w:afterLines="100"/>
      <w:ind w:left="0"/>
      <w:jc w:val="both"/>
      <w:outlineLvl w:val="0"/>
    </w:pPr>
    <w:rPr>
      <w:rFonts w:ascii="黑体" w:hAnsi="Times New Roman" w:eastAsia="黑体" w:cs="Times New Roman"/>
      <w:sz w:val="21"/>
      <w:lang w:val="en-US" w:eastAsia="zh-CN" w:bidi="ar-SA"/>
    </w:rPr>
  </w:style>
  <w:style w:type="paragraph" w:customStyle="1" w:styleId="109">
    <w:name w:val="标准文件_一级条标题"/>
    <w:basedOn w:val="108"/>
    <w:next w:val="60"/>
    <w:qFormat/>
    <w:uiPriority w:val="0"/>
    <w:pPr>
      <w:numPr>
        <w:ilvl w:val="2"/>
      </w:numPr>
      <w:spacing w:before="50" w:beforeLines="50" w:after="50" w:afterLines="50"/>
      <w:ind w:left="0"/>
      <w:outlineLvl w:val="1"/>
    </w:pPr>
  </w:style>
  <w:style w:type="paragraph" w:customStyle="1" w:styleId="110">
    <w:name w:val="标准文件_一致程度"/>
    <w:basedOn w:val="1"/>
    <w:qFormat/>
    <w:uiPriority w:val="0"/>
    <w:pPr>
      <w:spacing w:line="440" w:lineRule="exact"/>
      <w:jc w:val="center"/>
    </w:pPr>
    <w:rPr>
      <w:sz w:val="28"/>
    </w:rPr>
  </w:style>
  <w:style w:type="paragraph" w:customStyle="1" w:styleId="111">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2">
    <w:name w:val="标准文件_英文图表脚注"/>
    <w:basedOn w:val="59"/>
    <w:qFormat/>
    <w:uiPriority w:val="0"/>
    <w:pPr>
      <w:widowControl/>
      <w:adjustRightInd/>
      <w:snapToGrid/>
      <w:spacing w:line="240" w:lineRule="auto"/>
      <w:ind w:left="79" w:hanging="79" w:hangingChars="80"/>
    </w:pPr>
    <w:rPr>
      <w:rFonts w:ascii="宋体" w:hAnsi="宋体"/>
    </w:rPr>
  </w:style>
  <w:style w:type="paragraph" w:customStyle="1" w:styleId="113">
    <w:name w:val="标准文件_数字编号列项（二级）"/>
    <w:qFormat/>
    <w:uiPriority w:val="0"/>
    <w:pPr>
      <w:numPr>
        <w:ilvl w:val="1"/>
        <w:numId w:val="13"/>
      </w:numPr>
      <w:tabs>
        <w:tab w:val="left" w:pos="851"/>
      </w:tabs>
      <w:jc w:val="both"/>
    </w:pPr>
    <w:rPr>
      <w:rFonts w:ascii="宋体" w:hAnsi="Times New Roman" w:eastAsia="宋体" w:cs="Times New Roman"/>
      <w:sz w:val="21"/>
      <w:lang w:val="en-US" w:eastAsia="zh-CN" w:bidi="ar-SA"/>
    </w:rPr>
  </w:style>
  <w:style w:type="paragraph" w:customStyle="1" w:styleId="114">
    <w:name w:val="标准文件_英文注："/>
    <w:basedOn w:val="1"/>
    <w:next w:val="60"/>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5">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6">
    <w:name w:val="标准文件_正文表标题"/>
    <w:next w:val="60"/>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7">
    <w:name w:val="标准文件_正文公式"/>
    <w:basedOn w:val="1"/>
    <w:next w:val="59"/>
    <w:qFormat/>
    <w:uiPriority w:val="0"/>
    <w:pPr>
      <w:tabs>
        <w:tab w:val="center" w:pos="4678"/>
        <w:tab w:val="right" w:leader="middleDot" w:pos="9356"/>
      </w:tabs>
      <w:spacing w:line="240" w:lineRule="auto"/>
    </w:pPr>
    <w:rPr>
      <w:rFonts w:ascii="宋体" w:hAnsi="宋体"/>
    </w:rPr>
  </w:style>
  <w:style w:type="paragraph" w:customStyle="1" w:styleId="118">
    <w:name w:val="标准文件_正文图标题"/>
    <w:next w:val="60"/>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9">
    <w:name w:val="标准文件_正文英文表标题"/>
    <w:next w:val="60"/>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20">
    <w:name w:val="标准文件_正文英文图标题"/>
    <w:next w:val="60"/>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1">
    <w:name w:val="标准文件_编号列项（三级）"/>
    <w:qFormat/>
    <w:uiPriority w:val="0"/>
    <w:pPr>
      <w:numPr>
        <w:ilvl w:val="2"/>
        <w:numId w:val="13"/>
      </w:numPr>
      <w:tabs>
        <w:tab w:val="left" w:pos="851"/>
      </w:tabs>
    </w:pPr>
    <w:rPr>
      <w:rFonts w:ascii="宋体" w:hAnsi="Times New Roman" w:eastAsia="宋体" w:cs="Times New Roman"/>
      <w:sz w:val="21"/>
      <w:lang w:val="en-US" w:eastAsia="zh-CN" w:bidi="ar-SA"/>
    </w:rPr>
  </w:style>
  <w:style w:type="paragraph" w:customStyle="1" w:styleId="122">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3">
    <w:name w:val="发布部门"/>
    <w:next w:val="60"/>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4">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5">
    <w:name w:val="封面标准代替信息"/>
    <w:basedOn w:val="1"/>
    <w:qFormat/>
    <w:uiPriority w:val="0"/>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6">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7">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8">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9">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30">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1">
    <w:name w:val="封面正文"/>
    <w:qFormat/>
    <w:uiPriority w:val="0"/>
    <w:pPr>
      <w:jc w:val="both"/>
    </w:pPr>
    <w:rPr>
      <w:rFonts w:ascii="Times New Roman" w:hAnsi="Times New Roman" w:eastAsia="宋体" w:cs="Times New Roman"/>
      <w:lang w:val="en-US" w:eastAsia="zh-CN" w:bidi="ar-SA"/>
    </w:rPr>
  </w:style>
  <w:style w:type="paragraph" w:customStyle="1" w:styleId="132">
    <w:name w:val="附录二级无标题条"/>
    <w:basedOn w:val="1"/>
    <w:next w:val="60"/>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3">
    <w:name w:val="附录三级无标题条"/>
    <w:basedOn w:val="132"/>
    <w:next w:val="60"/>
    <w:qFormat/>
    <w:uiPriority w:val="0"/>
    <w:pPr>
      <w:outlineLvl w:val="4"/>
    </w:pPr>
  </w:style>
  <w:style w:type="paragraph" w:customStyle="1" w:styleId="134">
    <w:name w:val="附录四级无标题条"/>
    <w:basedOn w:val="133"/>
    <w:next w:val="60"/>
    <w:qFormat/>
    <w:uiPriority w:val="0"/>
    <w:pPr>
      <w:outlineLvl w:val="5"/>
    </w:pPr>
  </w:style>
  <w:style w:type="paragraph" w:customStyle="1" w:styleId="135">
    <w:name w:val="附录图"/>
    <w:next w:val="60"/>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6">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7">
    <w:name w:val="附录五级无标题条"/>
    <w:basedOn w:val="134"/>
    <w:next w:val="60"/>
    <w:qFormat/>
    <w:uiPriority w:val="0"/>
    <w:pPr>
      <w:outlineLvl w:val="6"/>
    </w:pPr>
  </w:style>
  <w:style w:type="paragraph" w:customStyle="1" w:styleId="138">
    <w:name w:val="附录性质"/>
    <w:basedOn w:val="1"/>
    <w:qFormat/>
    <w:uiPriority w:val="0"/>
    <w:pPr>
      <w:widowControl/>
      <w:adjustRightInd/>
      <w:jc w:val="center"/>
    </w:pPr>
    <w:rPr>
      <w:rFonts w:ascii="黑体" w:eastAsia="黑体"/>
    </w:rPr>
  </w:style>
  <w:style w:type="paragraph" w:customStyle="1" w:styleId="139">
    <w:name w:val="附录一级无标题条"/>
    <w:basedOn w:val="91"/>
    <w:next w:val="60"/>
    <w:qFormat/>
    <w:uiPriority w:val="0"/>
    <w:pPr>
      <w:autoSpaceDN w:val="0"/>
      <w:outlineLvl w:val="2"/>
    </w:pPr>
    <w:rPr>
      <w:rFonts w:ascii="宋体" w:hAnsi="宋体" w:eastAsia="宋体"/>
    </w:rPr>
  </w:style>
  <w:style w:type="character" w:customStyle="1" w:styleId="140">
    <w:name w:val="个人答复风格"/>
    <w:qFormat/>
    <w:uiPriority w:val="0"/>
    <w:rPr>
      <w:rFonts w:ascii="Arial" w:hAnsi="Arial" w:eastAsia="宋体" w:cs="Arial"/>
      <w:color w:val="auto"/>
      <w:spacing w:val="0"/>
      <w:sz w:val="20"/>
    </w:rPr>
  </w:style>
  <w:style w:type="character" w:customStyle="1" w:styleId="141">
    <w:name w:val="个人撰写风格"/>
    <w:qFormat/>
    <w:uiPriority w:val="0"/>
    <w:rPr>
      <w:rFonts w:ascii="Arial" w:hAnsi="Arial" w:eastAsia="宋体" w:cs="Arial"/>
      <w:color w:val="auto"/>
      <w:spacing w:val="0"/>
      <w:sz w:val="20"/>
    </w:rPr>
  </w:style>
  <w:style w:type="paragraph" w:customStyle="1" w:styleId="142">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3">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4">
    <w:name w:val="列项·"/>
    <w:basedOn w:val="60"/>
    <w:qFormat/>
    <w:uiPriority w:val="0"/>
    <w:pPr>
      <w:tabs>
        <w:tab w:val="left" w:pos="840"/>
      </w:tabs>
    </w:pPr>
  </w:style>
  <w:style w:type="paragraph" w:customStyle="1" w:styleId="145">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6">
    <w:name w:val="目录 21"/>
    <w:basedOn w:val="1"/>
    <w:next w:val="1"/>
    <w:semiHidden/>
    <w:qFormat/>
    <w:uiPriority w:val="0"/>
    <w:pPr>
      <w:adjustRightInd/>
      <w:spacing w:line="240" w:lineRule="auto"/>
      <w:jc w:val="left"/>
    </w:pPr>
    <w:rPr>
      <w:bCs/>
      <w:iCs/>
    </w:rPr>
  </w:style>
  <w:style w:type="paragraph" w:customStyle="1" w:styleId="147">
    <w:name w:val="目录 31"/>
    <w:basedOn w:val="1"/>
    <w:next w:val="1"/>
    <w:semiHidden/>
    <w:qFormat/>
    <w:uiPriority w:val="0"/>
    <w:pPr>
      <w:spacing w:line="240" w:lineRule="auto"/>
    </w:pPr>
    <w:rPr>
      <w:rFonts w:ascii="宋体" w:hAnsi="宋体"/>
      <w:iCs/>
    </w:rPr>
  </w:style>
  <w:style w:type="paragraph" w:customStyle="1" w:styleId="148">
    <w:name w:val="目录 41"/>
    <w:basedOn w:val="1"/>
    <w:next w:val="1"/>
    <w:semiHidden/>
    <w:qFormat/>
    <w:uiPriority w:val="0"/>
    <w:pPr>
      <w:adjustRightInd/>
      <w:spacing w:line="240" w:lineRule="auto"/>
      <w:jc w:val="left"/>
    </w:pPr>
  </w:style>
  <w:style w:type="paragraph" w:customStyle="1" w:styleId="149">
    <w:name w:val="目录 51"/>
    <w:basedOn w:val="1"/>
    <w:next w:val="1"/>
    <w:semiHidden/>
    <w:qFormat/>
    <w:uiPriority w:val="0"/>
    <w:pPr>
      <w:spacing w:line="240" w:lineRule="auto"/>
    </w:pPr>
    <w:rPr>
      <w:rFonts w:ascii="宋体" w:hAnsi="宋体"/>
    </w:rPr>
  </w:style>
  <w:style w:type="paragraph" w:customStyle="1" w:styleId="150">
    <w:name w:val="目录 61"/>
    <w:basedOn w:val="1"/>
    <w:next w:val="1"/>
    <w:semiHidden/>
    <w:qFormat/>
    <w:uiPriority w:val="0"/>
    <w:pPr>
      <w:adjustRightInd/>
      <w:spacing w:line="240" w:lineRule="auto"/>
      <w:jc w:val="left"/>
    </w:pPr>
  </w:style>
  <w:style w:type="paragraph" w:customStyle="1" w:styleId="151">
    <w:name w:val="目录 71"/>
    <w:basedOn w:val="150"/>
    <w:semiHidden/>
    <w:qFormat/>
    <w:uiPriority w:val="0"/>
    <w:pPr>
      <w:ind w:left="1260"/>
    </w:pPr>
  </w:style>
  <w:style w:type="paragraph" w:customStyle="1" w:styleId="152">
    <w:name w:val="目录 81"/>
    <w:basedOn w:val="151"/>
    <w:semiHidden/>
    <w:qFormat/>
    <w:uiPriority w:val="0"/>
    <w:pPr>
      <w:ind w:left="1470"/>
    </w:pPr>
  </w:style>
  <w:style w:type="paragraph" w:customStyle="1" w:styleId="153">
    <w:name w:val="目录 91"/>
    <w:basedOn w:val="152"/>
    <w:semiHidden/>
    <w:qFormat/>
    <w:uiPriority w:val="0"/>
    <w:pPr>
      <w:ind w:left="1680"/>
    </w:pPr>
  </w:style>
  <w:style w:type="paragraph" w:customStyle="1" w:styleId="154">
    <w:name w:val="其他标准称谓"/>
    <w:next w:val="1"/>
    <w:qFormat/>
    <w:uiPriority w:val="0"/>
    <w:pPr>
      <w:spacing w:line="0" w:lineRule="atLeast"/>
      <w:jc w:val="distribute"/>
    </w:pPr>
    <w:rPr>
      <w:rFonts w:ascii="黑体" w:hAnsi="宋体" w:eastAsia="黑体" w:cs="Times New Roman"/>
      <w:sz w:val="52"/>
      <w:lang w:val="en-US" w:eastAsia="zh-CN" w:bidi="ar-SA"/>
    </w:rPr>
  </w:style>
  <w:style w:type="paragraph" w:customStyle="1" w:styleId="155">
    <w:name w:val="其他发布部门"/>
    <w:basedOn w:val="123"/>
    <w:qFormat/>
    <w:uiPriority w:val="0"/>
    <w:pPr>
      <w:framePr w:wrap="around"/>
      <w:spacing w:line="0" w:lineRule="atLeast"/>
    </w:pPr>
    <w:rPr>
      <w:rFonts w:ascii="黑体" w:eastAsia="黑体"/>
      <w:b w:val="0"/>
    </w:rPr>
  </w:style>
  <w:style w:type="paragraph" w:customStyle="1" w:styleId="156">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7">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8">
    <w:name w:val="实施日期"/>
    <w:basedOn w:val="124"/>
    <w:qFormat/>
    <w:uiPriority w:val="0"/>
    <w:pPr>
      <w:framePr w:hSpace="0" w:wrap="around" w:xAlign="right"/>
      <w:jc w:val="right"/>
    </w:pPr>
  </w:style>
  <w:style w:type="paragraph" w:customStyle="1" w:styleId="159">
    <w:name w:val="四级无标题条"/>
    <w:basedOn w:val="1"/>
    <w:qFormat/>
    <w:uiPriority w:val="0"/>
    <w:pPr>
      <w:numPr>
        <w:ilvl w:val="5"/>
        <w:numId w:val="20"/>
      </w:numPr>
      <w:adjustRightInd/>
      <w:spacing w:line="240" w:lineRule="auto"/>
    </w:pPr>
    <w:rPr>
      <w:rFonts w:ascii="宋体" w:hAnsi="宋体"/>
      <w:szCs w:val="24"/>
    </w:rPr>
  </w:style>
  <w:style w:type="paragraph" w:customStyle="1" w:styleId="160">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1">
    <w:name w:val="无标题条"/>
    <w:next w:val="60"/>
    <w:qFormat/>
    <w:uiPriority w:val="0"/>
    <w:pPr>
      <w:jc w:val="both"/>
    </w:pPr>
    <w:rPr>
      <w:rFonts w:ascii="宋体" w:hAnsi="宋体" w:eastAsia="宋体" w:cs="Times New Roman"/>
      <w:sz w:val="21"/>
      <w:lang w:val="en-US" w:eastAsia="zh-CN" w:bidi="ar-SA"/>
    </w:rPr>
  </w:style>
  <w:style w:type="paragraph" w:customStyle="1" w:styleId="162">
    <w:name w:val="五级无标题条"/>
    <w:basedOn w:val="1"/>
    <w:qFormat/>
    <w:uiPriority w:val="0"/>
    <w:pPr>
      <w:numPr>
        <w:ilvl w:val="6"/>
        <w:numId w:val="20"/>
      </w:numPr>
      <w:adjustRightInd/>
    </w:pPr>
    <w:rPr>
      <w:szCs w:val="24"/>
    </w:rPr>
  </w:style>
  <w:style w:type="paragraph" w:customStyle="1" w:styleId="163">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4">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5">
    <w:name w:val="注×:后续"/>
    <w:basedOn w:val="164"/>
    <w:qFormat/>
    <w:uiPriority w:val="0"/>
    <w:pPr>
      <w:ind w:left="1406" w:leftChars="0" w:hanging="499" w:firstLineChars="0"/>
    </w:pPr>
  </w:style>
  <w:style w:type="paragraph" w:customStyle="1" w:styleId="166">
    <w:name w:val="标准文件_一级无标题"/>
    <w:basedOn w:val="109"/>
    <w:qFormat/>
    <w:uiPriority w:val="0"/>
    <w:pPr>
      <w:spacing w:before="0" w:beforeLines="0" w:after="0" w:afterLines="0"/>
      <w:outlineLvl w:val="9"/>
    </w:pPr>
    <w:rPr>
      <w:rFonts w:ascii="宋体" w:eastAsia="宋体"/>
    </w:rPr>
  </w:style>
  <w:style w:type="paragraph" w:customStyle="1" w:styleId="167">
    <w:name w:val="标准文件_五级无标题"/>
    <w:basedOn w:val="107"/>
    <w:qFormat/>
    <w:uiPriority w:val="0"/>
    <w:pPr>
      <w:spacing w:before="0" w:beforeLines="0" w:after="0" w:afterLines="0"/>
      <w:outlineLvl w:val="9"/>
    </w:pPr>
    <w:rPr>
      <w:rFonts w:ascii="宋体" w:eastAsia="宋体"/>
    </w:rPr>
  </w:style>
  <w:style w:type="paragraph" w:customStyle="1" w:styleId="168">
    <w:name w:val="标准文件_三级无标题"/>
    <w:basedOn w:val="98"/>
    <w:qFormat/>
    <w:uiPriority w:val="0"/>
    <w:pPr>
      <w:spacing w:before="0" w:beforeLines="0" w:after="0" w:afterLines="0"/>
      <w:ind w:left="709"/>
      <w:outlineLvl w:val="9"/>
    </w:pPr>
    <w:rPr>
      <w:rFonts w:ascii="宋体" w:eastAsia="宋体"/>
    </w:rPr>
  </w:style>
  <w:style w:type="paragraph" w:customStyle="1" w:styleId="169">
    <w:name w:val="标准文件_二级无标题"/>
    <w:basedOn w:val="69"/>
    <w:qFormat/>
    <w:uiPriority w:val="0"/>
    <w:pPr>
      <w:spacing w:before="0" w:beforeLines="0" w:after="0" w:afterLines="0"/>
      <w:outlineLvl w:val="9"/>
    </w:pPr>
    <w:rPr>
      <w:rFonts w:ascii="宋体" w:eastAsia="宋体"/>
    </w:rPr>
  </w:style>
  <w:style w:type="paragraph" w:customStyle="1" w:styleId="170">
    <w:name w:val="标准_四级无标题"/>
    <w:basedOn w:val="102"/>
    <w:next w:val="60"/>
    <w:qFormat/>
    <w:uiPriority w:val="0"/>
    <w:rPr>
      <w:rFonts w:eastAsia="宋体"/>
    </w:rPr>
  </w:style>
  <w:style w:type="paragraph" w:customStyle="1" w:styleId="171">
    <w:name w:val="标准文件_四级无标题"/>
    <w:basedOn w:val="102"/>
    <w:qFormat/>
    <w:uiPriority w:val="0"/>
    <w:pPr>
      <w:spacing w:before="0" w:beforeLines="0" w:after="0" w:afterLines="0"/>
      <w:outlineLvl w:val="9"/>
    </w:pPr>
    <w:rPr>
      <w:rFonts w:ascii="宋体" w:hAnsi="黑体" w:eastAsia="宋体"/>
      <w:szCs w:val="52"/>
    </w:rPr>
  </w:style>
  <w:style w:type="paragraph" w:customStyle="1" w:styleId="172">
    <w:name w:val="标准文件_大写罗马数字编号列项"/>
    <w:basedOn w:val="60"/>
    <w:qFormat/>
    <w:uiPriority w:val="0"/>
    <w:pPr>
      <w:numPr>
        <w:ilvl w:val="0"/>
        <w:numId w:val="23"/>
      </w:numPr>
      <w:ind w:firstLine="0" w:firstLineChars="0"/>
    </w:pPr>
    <w:rPr>
      <w:rFonts w:ascii="Times New Roman" w:cs="Arial"/>
      <w:szCs w:val="28"/>
    </w:rPr>
  </w:style>
  <w:style w:type="paragraph" w:customStyle="1" w:styleId="173">
    <w:name w:val="标准文件_小写罗马数字编号列项"/>
    <w:basedOn w:val="60"/>
    <w:qFormat/>
    <w:uiPriority w:val="0"/>
    <w:pPr>
      <w:numPr>
        <w:ilvl w:val="0"/>
        <w:numId w:val="24"/>
      </w:numPr>
      <w:ind w:firstLine="0" w:firstLineChars="0"/>
    </w:pPr>
    <w:rPr>
      <w:rFonts w:cs="Arial"/>
      <w:szCs w:val="28"/>
    </w:rPr>
  </w:style>
  <w:style w:type="paragraph" w:customStyle="1" w:styleId="174">
    <w:name w:val="标准文件_附录标题"/>
    <w:basedOn w:val="80"/>
    <w:qFormat/>
    <w:uiPriority w:val="0"/>
    <w:pPr>
      <w:spacing w:after="280"/>
      <w:outlineLvl w:val="9"/>
    </w:pPr>
  </w:style>
  <w:style w:type="paragraph" w:customStyle="1" w:styleId="175">
    <w:name w:val="标准文件_二级项"/>
    <w:qFormat/>
    <w:uiPriority w:val="0"/>
    <w:rPr>
      <w:rFonts w:ascii="宋体" w:hAnsi="Times New Roman" w:eastAsia="宋体" w:cs="Times New Roman"/>
      <w:sz w:val="21"/>
      <w:lang w:val="en-US" w:eastAsia="zh-CN" w:bidi="ar-SA"/>
    </w:rPr>
  </w:style>
  <w:style w:type="paragraph" w:customStyle="1" w:styleId="176">
    <w:name w:val="标准文件_三级项"/>
    <w:basedOn w:val="1"/>
    <w:qFormat/>
    <w:uiPriority w:val="0"/>
    <w:pPr>
      <w:numPr>
        <w:ilvl w:val="2"/>
        <w:numId w:val="21"/>
      </w:numPr>
      <w:spacing w:line="536870612" w:lineRule="auto"/>
    </w:pPr>
    <w:rPr>
      <w:rFonts w:ascii="Times New Roman" w:hAnsi="Times New Roman"/>
    </w:rPr>
  </w:style>
  <w:style w:type="paragraph" w:customStyle="1" w:styleId="177">
    <w:name w:val="图表脚注说明"/>
    <w:basedOn w:val="1"/>
    <w:next w:val="60"/>
    <w:qFormat/>
    <w:uiPriority w:val="0"/>
    <w:pPr>
      <w:numPr>
        <w:ilvl w:val="0"/>
        <w:numId w:val="25"/>
      </w:numPr>
      <w:adjustRightInd/>
      <w:spacing w:line="240" w:lineRule="auto"/>
    </w:pPr>
    <w:rPr>
      <w:rFonts w:ascii="宋体" w:hAnsi="Times New Roman"/>
      <w:sz w:val="18"/>
      <w:szCs w:val="18"/>
    </w:rPr>
  </w:style>
  <w:style w:type="paragraph" w:customStyle="1" w:styleId="178">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9">
    <w:name w:val="标准文件_索引字母"/>
    <w:next w:val="60"/>
    <w:qFormat/>
    <w:uiPriority w:val="0"/>
    <w:pPr>
      <w:jc w:val="center"/>
    </w:pPr>
    <w:rPr>
      <w:rFonts w:ascii="宋体" w:hAnsi="宋体" w:eastAsia="Times New Roman" w:cs="Times New Roman"/>
      <w:b/>
      <w:kern w:val="2"/>
      <w:sz w:val="21"/>
      <w:lang w:val="en-US" w:eastAsia="zh-CN" w:bidi="ar-SA"/>
    </w:rPr>
  </w:style>
  <w:style w:type="paragraph" w:customStyle="1" w:styleId="180">
    <w:name w:val="标准文件_附录前"/>
    <w:next w:val="60"/>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1">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82">
    <w:name w:val="标准文件_表格"/>
    <w:basedOn w:val="60"/>
    <w:qFormat/>
    <w:uiPriority w:val="0"/>
    <w:pPr>
      <w:ind w:firstLine="0" w:firstLineChars="0"/>
      <w:jc w:val="center"/>
    </w:pPr>
    <w:rPr>
      <w:sz w:val="18"/>
    </w:rPr>
  </w:style>
  <w:style w:type="paragraph" w:customStyle="1" w:styleId="183">
    <w:name w:val="标准文件_注："/>
    <w:next w:val="60"/>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4">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5">
    <w:name w:val="标准文件_示例："/>
    <w:next w:val="186"/>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6">
    <w:name w:val="标准文件_示例内容"/>
    <w:basedOn w:val="60"/>
    <w:qFormat/>
    <w:uiPriority w:val="0"/>
    <w:pPr>
      <w:ind w:firstLine="420"/>
    </w:pPr>
    <w:rPr>
      <w:sz w:val="18"/>
    </w:rPr>
  </w:style>
  <w:style w:type="paragraph" w:customStyle="1" w:styleId="187">
    <w:name w:val="标准文件_示例×："/>
    <w:basedOn w:val="1"/>
    <w:next w:val="186"/>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8">
    <w:name w:val="标准文件_段 Char"/>
    <w:link w:val="60"/>
    <w:qFormat/>
    <w:uiPriority w:val="0"/>
    <w:rPr>
      <w:rFonts w:ascii="宋体" w:hAnsi="Times New Roman"/>
      <w:sz w:val="21"/>
    </w:rPr>
  </w:style>
  <w:style w:type="paragraph" w:customStyle="1" w:styleId="189">
    <w:name w:val="标准文件_表格续"/>
    <w:basedOn w:val="60"/>
    <w:next w:val="60"/>
    <w:qFormat/>
    <w:uiPriority w:val="0"/>
    <w:pPr>
      <w:jc w:val="center"/>
    </w:pPr>
    <w:rPr>
      <w:rFonts w:ascii="黑体" w:hAnsi="黑体" w:eastAsia="黑体"/>
    </w:rPr>
  </w:style>
  <w:style w:type="character" w:styleId="190">
    <w:name w:val="Placeholder Text"/>
    <w:basedOn w:val="30"/>
    <w:semiHidden/>
    <w:qFormat/>
    <w:uiPriority w:val="99"/>
    <w:rPr>
      <w:color w:val="808080"/>
    </w:rPr>
  </w:style>
  <w:style w:type="paragraph" w:customStyle="1" w:styleId="191">
    <w:name w:val="标准文件_二级项2"/>
    <w:basedOn w:val="60"/>
    <w:qFormat/>
    <w:uiPriority w:val="0"/>
    <w:pPr>
      <w:numPr>
        <w:ilvl w:val="1"/>
        <w:numId w:val="21"/>
      </w:numPr>
      <w:ind w:firstLine="0" w:firstLineChars="0"/>
    </w:pPr>
  </w:style>
  <w:style w:type="paragraph" w:customStyle="1" w:styleId="192">
    <w:name w:val="标准文件_三级项2"/>
    <w:basedOn w:val="60"/>
    <w:qFormat/>
    <w:uiPriority w:val="0"/>
    <w:pPr>
      <w:numPr>
        <w:ilvl w:val="0"/>
        <w:numId w:val="30"/>
      </w:numPr>
      <w:spacing w:line="300" w:lineRule="exact"/>
      <w:ind w:firstLineChars="0"/>
    </w:pPr>
    <w:rPr>
      <w:rFonts w:ascii="Times New Roman"/>
    </w:rPr>
  </w:style>
  <w:style w:type="paragraph" w:customStyle="1" w:styleId="193">
    <w:name w:val="标准文件_一级项2"/>
    <w:basedOn w:val="60"/>
    <w:qFormat/>
    <w:uiPriority w:val="0"/>
    <w:pPr>
      <w:numPr>
        <w:ilvl w:val="0"/>
        <w:numId w:val="31"/>
      </w:numPr>
      <w:spacing w:line="300" w:lineRule="exact"/>
      <w:ind w:firstLineChars="0"/>
    </w:pPr>
    <w:rPr>
      <w:rFonts w:ascii="Times New Roman"/>
    </w:rPr>
  </w:style>
  <w:style w:type="paragraph" w:customStyle="1" w:styleId="194">
    <w:name w:val="标准文件_提示"/>
    <w:basedOn w:val="60"/>
    <w:next w:val="60"/>
    <w:qFormat/>
    <w:uiPriority w:val="0"/>
    <w:pPr>
      <w:ind w:firstLine="420"/>
    </w:pPr>
    <w:rPr>
      <w:rFonts w:ascii="黑体" w:eastAsia="黑体"/>
    </w:rPr>
  </w:style>
  <w:style w:type="character" w:customStyle="1" w:styleId="195">
    <w:name w:val="标准文件_来源"/>
    <w:basedOn w:val="30"/>
    <w:qFormat/>
    <w:uiPriority w:val="1"/>
    <w:rPr>
      <w:rFonts w:eastAsia="宋体"/>
      <w:sz w:val="21"/>
    </w:rPr>
  </w:style>
  <w:style w:type="paragraph" w:customStyle="1" w:styleId="196">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7">
    <w:name w:val="其他发布日期"/>
    <w:basedOn w:val="124"/>
    <w:qFormat/>
    <w:uiPriority w:val="0"/>
    <w:pPr>
      <w:framePr w:w="3997" w:h="471" w:hRule="exact" w:hSpace="0" w:vSpace="181" w:wrap="around" w:vAnchor="page" w:hAnchor="page" w:x="1419" w:y="14097"/>
    </w:pPr>
  </w:style>
  <w:style w:type="paragraph" w:customStyle="1" w:styleId="198">
    <w:name w:val="其他实施日期"/>
    <w:basedOn w:val="158"/>
    <w:qFormat/>
    <w:uiPriority w:val="0"/>
    <w:pPr>
      <w:framePr w:w="3997" w:h="471" w:hRule="exact" w:vSpace="181" w:wrap="around" w:vAnchor="page" w:hAnchor="page" w:x="7089" w:y="14097"/>
    </w:pPr>
  </w:style>
  <w:style w:type="paragraph" w:customStyle="1" w:styleId="199">
    <w:name w:val="标准文件_文件编号"/>
    <w:basedOn w:val="60"/>
    <w:qFormat/>
    <w:uiPriority w:val="0"/>
    <w:pPr>
      <w:framePr w:w="9356" w:h="624" w:hRule="exact" w:hSpace="181" w:vSpace="181" w:wrap="around" w:vAnchor="page" w:hAnchor="page" w:x="1419" w:y="3284"/>
      <w:wordWrap w:val="0"/>
      <w:spacing w:line="280" w:lineRule="exact"/>
      <w:ind w:firstLine="0" w:firstLineChars="0"/>
      <w:jc w:val="right"/>
    </w:pPr>
    <w:rPr>
      <w:rFonts w:ascii="黑体" w:eastAsia="黑体"/>
      <w:bCs/>
      <w:sz w:val="28"/>
      <w:szCs w:val="28"/>
    </w:rPr>
  </w:style>
  <w:style w:type="paragraph" w:customStyle="1" w:styleId="200">
    <w:name w:val="标准文件_替换文件编号"/>
    <w:basedOn w:val="199"/>
    <w:qFormat/>
    <w:uiPriority w:val="0"/>
    <w:pPr>
      <w:framePr w:wrap="around"/>
      <w:spacing w:before="57"/>
    </w:pPr>
    <w:rPr>
      <w:sz w:val="21"/>
    </w:rPr>
  </w:style>
  <w:style w:type="paragraph" w:customStyle="1" w:styleId="201">
    <w:name w:val="标准文件_文件名称"/>
    <w:basedOn w:val="60"/>
    <w:next w:val="60"/>
    <w:qFormat/>
    <w:uiPriority w:val="0"/>
    <w:pPr>
      <w:framePr w:w="9639" w:h="6976" w:hRule="exact" w:wrap="around" w:vAnchor="page" w:hAnchor="page" w:y="6408"/>
      <w:autoSpaceDE/>
      <w:autoSpaceDN/>
      <w:spacing w:line="700" w:lineRule="exact"/>
      <w:ind w:firstLine="0" w:firstLineChars="0"/>
      <w:jc w:val="center"/>
    </w:pPr>
    <w:rPr>
      <w:rFonts w:ascii="黑体" w:hAnsi="黑体" w:eastAsia="黑体"/>
      <w:bCs/>
      <w:sz w:val="52"/>
    </w:rPr>
  </w:style>
  <w:style w:type="paragraph" w:customStyle="1" w:styleId="202">
    <w:name w:val="标准文件_附录图标号"/>
    <w:basedOn w:val="60"/>
    <w:next w:val="60"/>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3">
    <w:name w:val="标准文件_附录表标号"/>
    <w:basedOn w:val="60"/>
    <w:next w:val="60"/>
    <w:qFormat/>
    <w:uiPriority w:val="0"/>
    <w:pPr>
      <w:numPr>
        <w:ilvl w:val="0"/>
        <w:numId w:val="4"/>
      </w:numPr>
      <w:spacing w:line="14" w:lineRule="exact"/>
      <w:ind w:firstLine="0" w:firstLineChars="0"/>
      <w:jc w:val="center"/>
    </w:pPr>
    <w:rPr>
      <w:rFonts w:eastAsia="黑体"/>
      <w:vanish/>
      <w:sz w:val="2"/>
    </w:rPr>
  </w:style>
  <w:style w:type="paragraph" w:customStyle="1" w:styleId="204">
    <w:name w:val="标准文件_引言一级条标题"/>
    <w:basedOn w:val="60"/>
    <w:next w:val="60"/>
    <w:qFormat/>
    <w:uiPriority w:val="0"/>
    <w:pPr>
      <w:numPr>
        <w:ilvl w:val="1"/>
        <w:numId w:val="8"/>
      </w:numPr>
      <w:spacing w:before="50" w:beforeLines="50" w:after="50" w:afterLines="50"/>
      <w:ind w:firstLineChars="0"/>
    </w:pPr>
    <w:rPr>
      <w:rFonts w:ascii="黑体" w:eastAsia="黑体"/>
    </w:rPr>
  </w:style>
  <w:style w:type="paragraph" w:customStyle="1" w:styleId="205">
    <w:name w:val="标准文件_引言二级条标题"/>
    <w:basedOn w:val="60"/>
    <w:next w:val="60"/>
    <w:qFormat/>
    <w:uiPriority w:val="0"/>
    <w:pPr>
      <w:numPr>
        <w:ilvl w:val="2"/>
        <w:numId w:val="8"/>
      </w:numPr>
      <w:spacing w:before="50" w:beforeLines="50" w:after="50" w:afterLines="50"/>
      <w:ind w:firstLineChars="0"/>
    </w:pPr>
    <w:rPr>
      <w:rFonts w:ascii="黑体" w:eastAsia="黑体"/>
    </w:rPr>
  </w:style>
  <w:style w:type="paragraph" w:customStyle="1" w:styleId="206">
    <w:name w:val="标准文件_引言三级条标题"/>
    <w:basedOn w:val="60"/>
    <w:next w:val="60"/>
    <w:qFormat/>
    <w:uiPriority w:val="0"/>
    <w:pPr>
      <w:numPr>
        <w:ilvl w:val="3"/>
        <w:numId w:val="8"/>
      </w:numPr>
      <w:spacing w:before="50" w:beforeLines="50" w:after="50" w:afterLines="50"/>
      <w:ind w:firstLineChars="0"/>
    </w:pPr>
    <w:rPr>
      <w:rFonts w:ascii="黑体" w:eastAsia="黑体"/>
    </w:rPr>
  </w:style>
  <w:style w:type="paragraph" w:customStyle="1" w:styleId="207">
    <w:name w:val="标准文件_引言四级条标题"/>
    <w:basedOn w:val="60"/>
    <w:next w:val="60"/>
    <w:qFormat/>
    <w:uiPriority w:val="0"/>
    <w:pPr>
      <w:numPr>
        <w:ilvl w:val="4"/>
        <w:numId w:val="8"/>
      </w:numPr>
      <w:spacing w:before="50" w:beforeLines="50" w:after="50" w:afterLines="50"/>
      <w:ind w:firstLineChars="0"/>
    </w:pPr>
    <w:rPr>
      <w:rFonts w:ascii="黑体" w:eastAsia="黑体"/>
    </w:rPr>
  </w:style>
  <w:style w:type="paragraph" w:customStyle="1" w:styleId="208">
    <w:name w:val="标准文件_引言五级条标题"/>
    <w:basedOn w:val="60"/>
    <w:next w:val="60"/>
    <w:qFormat/>
    <w:uiPriority w:val="0"/>
    <w:pPr>
      <w:numPr>
        <w:ilvl w:val="5"/>
        <w:numId w:val="8"/>
      </w:numPr>
      <w:spacing w:before="50" w:beforeLines="50" w:after="50" w:afterLines="50"/>
      <w:ind w:firstLineChars="0"/>
    </w:pPr>
    <w:rPr>
      <w:rFonts w:ascii="黑体" w:eastAsia="黑体"/>
    </w:rPr>
  </w:style>
  <w:style w:type="paragraph" w:customStyle="1" w:styleId="209">
    <w:name w:val="标准文件_注后"/>
    <w:basedOn w:val="60"/>
    <w:qFormat/>
    <w:uiPriority w:val="0"/>
    <w:pPr>
      <w:ind w:left="811" w:firstLine="0" w:firstLineChars="0"/>
    </w:pPr>
    <w:rPr>
      <w:sz w:val="18"/>
    </w:rPr>
  </w:style>
  <w:style w:type="paragraph" w:customStyle="1" w:styleId="210">
    <w:name w:val="标准文件_注X后"/>
    <w:basedOn w:val="60"/>
    <w:qFormat/>
    <w:uiPriority w:val="0"/>
    <w:pPr>
      <w:ind w:left="811" w:firstLine="0" w:firstLineChars="0"/>
    </w:pPr>
    <w:rPr>
      <w:sz w:val="18"/>
    </w:rPr>
  </w:style>
  <w:style w:type="paragraph" w:customStyle="1" w:styleId="211">
    <w:name w:val="标准文件_示例后"/>
    <w:basedOn w:val="60"/>
    <w:qFormat/>
    <w:uiPriority w:val="0"/>
    <w:pPr>
      <w:ind w:left="964" w:firstLine="0" w:firstLineChars="0"/>
    </w:pPr>
    <w:rPr>
      <w:sz w:val="18"/>
    </w:rPr>
  </w:style>
  <w:style w:type="paragraph" w:customStyle="1" w:styleId="212">
    <w:name w:val="标准文件_示例X后"/>
    <w:basedOn w:val="60"/>
    <w:link w:val="213"/>
    <w:qFormat/>
    <w:uiPriority w:val="0"/>
    <w:pPr>
      <w:ind w:left="1049" w:firstLine="0" w:firstLineChars="0"/>
    </w:pPr>
    <w:rPr>
      <w:sz w:val="18"/>
    </w:rPr>
  </w:style>
  <w:style w:type="character" w:customStyle="1" w:styleId="213">
    <w:name w:val="标准文件_示例X后 字符"/>
    <w:basedOn w:val="188"/>
    <w:link w:val="212"/>
    <w:qFormat/>
    <w:uiPriority w:val="0"/>
    <w:rPr>
      <w:rFonts w:ascii="宋体" w:hAnsi="Times New Roman"/>
      <w:sz w:val="18"/>
    </w:rPr>
  </w:style>
  <w:style w:type="paragraph" w:customStyle="1" w:styleId="214">
    <w:name w:val="标准文件_索引项"/>
    <w:basedOn w:val="60"/>
    <w:next w:val="60"/>
    <w:qFormat/>
    <w:uiPriority w:val="0"/>
    <w:pPr>
      <w:tabs>
        <w:tab w:val="right" w:leader="dot" w:pos="9356"/>
      </w:tabs>
      <w:ind w:left="210" w:hanging="210" w:firstLineChars="0"/>
      <w:jc w:val="left"/>
    </w:pPr>
  </w:style>
  <w:style w:type="paragraph" w:customStyle="1" w:styleId="215">
    <w:name w:val="标准文件_附录一级无标题"/>
    <w:basedOn w:val="82"/>
    <w:qFormat/>
    <w:uiPriority w:val="0"/>
    <w:pPr>
      <w:spacing w:before="0" w:beforeLines="0" w:after="0" w:afterLines="0" w:line="276" w:lineRule="auto"/>
      <w:outlineLvl w:val="9"/>
    </w:pPr>
    <w:rPr>
      <w:rFonts w:ascii="宋体" w:eastAsia="宋体"/>
    </w:rPr>
  </w:style>
  <w:style w:type="paragraph" w:customStyle="1" w:styleId="216">
    <w:name w:val="标准文件_附录二级无标题"/>
    <w:basedOn w:val="83"/>
    <w:uiPriority w:val="0"/>
    <w:pPr>
      <w:spacing w:before="0" w:beforeLines="0" w:after="0" w:afterLines="0" w:line="276" w:lineRule="auto"/>
      <w:outlineLvl w:val="9"/>
    </w:pPr>
    <w:rPr>
      <w:rFonts w:ascii="宋体" w:eastAsia="宋体"/>
    </w:rPr>
  </w:style>
  <w:style w:type="paragraph" w:customStyle="1" w:styleId="217">
    <w:name w:val="标准文件_附录三级无标题"/>
    <w:basedOn w:val="85"/>
    <w:qFormat/>
    <w:uiPriority w:val="0"/>
    <w:pPr>
      <w:spacing w:before="0" w:beforeLines="0" w:after="0" w:afterLines="0" w:line="276" w:lineRule="auto"/>
      <w:outlineLvl w:val="9"/>
    </w:pPr>
    <w:rPr>
      <w:rFonts w:ascii="宋体" w:eastAsia="宋体"/>
    </w:rPr>
  </w:style>
  <w:style w:type="paragraph" w:customStyle="1" w:styleId="218">
    <w:name w:val="标准文件_附录四级无标题"/>
    <w:basedOn w:val="86"/>
    <w:qFormat/>
    <w:uiPriority w:val="0"/>
    <w:pPr>
      <w:spacing w:before="0" w:beforeLines="0" w:after="0" w:afterLines="0" w:line="276" w:lineRule="auto"/>
      <w:outlineLvl w:val="9"/>
    </w:pPr>
    <w:rPr>
      <w:rFonts w:ascii="宋体" w:eastAsia="宋体"/>
    </w:rPr>
  </w:style>
  <w:style w:type="paragraph" w:customStyle="1" w:styleId="219">
    <w:name w:val="标准文件_附录五级无标题"/>
    <w:basedOn w:val="88"/>
    <w:qFormat/>
    <w:uiPriority w:val="0"/>
    <w:pPr>
      <w:spacing w:before="0" w:beforeLines="0" w:after="0" w:afterLines="0" w:line="276" w:lineRule="auto"/>
      <w:outlineLvl w:val="9"/>
    </w:pPr>
    <w:rPr>
      <w:rFonts w:ascii="宋体" w:eastAsia="宋体"/>
    </w:rPr>
  </w:style>
  <w:style w:type="paragraph" w:customStyle="1" w:styleId="220">
    <w:name w:val="标准文件_引言一级无标题"/>
    <w:basedOn w:val="204"/>
    <w:next w:val="60"/>
    <w:qFormat/>
    <w:uiPriority w:val="0"/>
    <w:pPr>
      <w:spacing w:before="0" w:beforeLines="0" w:after="0" w:afterLines="0" w:line="276" w:lineRule="auto"/>
    </w:pPr>
    <w:rPr>
      <w:rFonts w:ascii="宋体" w:eastAsia="宋体"/>
    </w:rPr>
  </w:style>
  <w:style w:type="paragraph" w:customStyle="1" w:styleId="221">
    <w:name w:val="标准文件_引言二级无标题"/>
    <w:basedOn w:val="205"/>
    <w:next w:val="60"/>
    <w:qFormat/>
    <w:uiPriority w:val="0"/>
    <w:pPr>
      <w:spacing w:before="0" w:beforeLines="0" w:after="0" w:afterLines="0" w:line="276" w:lineRule="auto"/>
    </w:pPr>
    <w:rPr>
      <w:rFonts w:ascii="宋体" w:eastAsia="宋体"/>
    </w:rPr>
  </w:style>
  <w:style w:type="paragraph" w:customStyle="1" w:styleId="222">
    <w:name w:val="标准文件_引言三级无标题"/>
    <w:basedOn w:val="206"/>
    <w:qFormat/>
    <w:uiPriority w:val="0"/>
    <w:pPr>
      <w:spacing w:before="0" w:beforeLines="0" w:after="0" w:afterLines="0" w:line="276" w:lineRule="auto"/>
    </w:pPr>
    <w:rPr>
      <w:rFonts w:ascii="宋体" w:eastAsia="宋体"/>
    </w:rPr>
  </w:style>
  <w:style w:type="paragraph" w:customStyle="1" w:styleId="223">
    <w:name w:val="标准文件_引言四级无标题"/>
    <w:basedOn w:val="207"/>
    <w:next w:val="60"/>
    <w:qFormat/>
    <w:uiPriority w:val="0"/>
    <w:pPr>
      <w:spacing w:before="0" w:beforeLines="0" w:after="0" w:afterLines="0" w:line="276" w:lineRule="auto"/>
    </w:pPr>
    <w:rPr>
      <w:rFonts w:ascii="宋体" w:eastAsia="宋体"/>
    </w:rPr>
  </w:style>
  <w:style w:type="paragraph" w:customStyle="1" w:styleId="224">
    <w:name w:val="标准文件_引言五级无标题"/>
    <w:basedOn w:val="208"/>
    <w:next w:val="60"/>
    <w:qFormat/>
    <w:uiPriority w:val="0"/>
    <w:pPr>
      <w:spacing w:before="0" w:beforeLines="0" w:after="0" w:afterLines="0" w:line="276" w:lineRule="auto"/>
    </w:pPr>
    <w:rPr>
      <w:rFonts w:ascii="宋体" w:eastAsia="宋体"/>
    </w:rPr>
  </w:style>
  <w:style w:type="paragraph" w:customStyle="1" w:styleId="225">
    <w:name w:val="标准文件_索引标题"/>
    <w:basedOn w:val="67"/>
    <w:next w:val="60"/>
    <w:qFormat/>
    <w:uiPriority w:val="0"/>
    <w:rPr>
      <w:rFonts w:hAnsi="黑体"/>
    </w:rPr>
  </w:style>
  <w:style w:type="paragraph" w:customStyle="1" w:styleId="226">
    <w:name w:val="标准文件_脚注内容"/>
    <w:basedOn w:val="60"/>
    <w:qFormat/>
    <w:uiPriority w:val="0"/>
    <w:pPr>
      <w:ind w:left="400" w:leftChars="200" w:hanging="200" w:hangingChars="200"/>
    </w:pPr>
    <w:rPr>
      <w:sz w:val="15"/>
    </w:rPr>
  </w:style>
  <w:style w:type="paragraph" w:customStyle="1" w:styleId="227">
    <w:name w:val="标准文件_术语条一"/>
    <w:basedOn w:val="166"/>
    <w:next w:val="60"/>
    <w:qFormat/>
    <w:uiPriority w:val="0"/>
  </w:style>
  <w:style w:type="paragraph" w:customStyle="1" w:styleId="228">
    <w:name w:val="标准文件_术语条二"/>
    <w:basedOn w:val="169"/>
    <w:next w:val="60"/>
    <w:qFormat/>
    <w:uiPriority w:val="0"/>
  </w:style>
  <w:style w:type="paragraph" w:customStyle="1" w:styleId="229">
    <w:name w:val="标准文件_术语条三"/>
    <w:basedOn w:val="168"/>
    <w:next w:val="60"/>
    <w:qFormat/>
    <w:uiPriority w:val="0"/>
  </w:style>
  <w:style w:type="paragraph" w:customStyle="1" w:styleId="230">
    <w:name w:val="标准文件_术语条四"/>
    <w:basedOn w:val="171"/>
    <w:next w:val="60"/>
    <w:qFormat/>
    <w:uiPriority w:val="0"/>
  </w:style>
  <w:style w:type="paragraph" w:customStyle="1" w:styleId="231">
    <w:name w:val="标准文件_术语条五"/>
    <w:basedOn w:val="167"/>
    <w:next w:val="60"/>
    <w:qFormat/>
    <w:uiPriority w:val="0"/>
  </w:style>
  <w:style w:type="paragraph" w:customStyle="1" w:styleId="232">
    <w:name w:val="Defaul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3">
    <w:name w:val="发布"/>
    <w:basedOn w:val="30"/>
    <w:qFormat/>
    <w:uiPriority w:val="0"/>
    <w:rPr>
      <w:rFonts w:ascii="黑体" w:eastAsia="黑体"/>
      <w:spacing w:val="85"/>
      <w:w w:val="100"/>
      <w:position w:val="3"/>
      <w:sz w:val="28"/>
      <w:szCs w:val="28"/>
    </w:rPr>
  </w:style>
  <w:style w:type="paragraph" w:customStyle="1" w:styleId="234">
    <w:name w:val="段"/>
    <w:basedOn w:val="1"/>
    <w:link w:val="238"/>
    <w:qFormat/>
    <w:uiPriority w:val="0"/>
    <w:pPr>
      <w:widowControl/>
      <w:autoSpaceDE w:val="0"/>
      <w:autoSpaceDN w:val="0"/>
      <w:adjustRightInd/>
      <w:spacing w:line="240" w:lineRule="auto"/>
      <w:ind w:firstLine="420" w:firstLineChars="200"/>
    </w:pPr>
    <w:rPr>
      <w:rFonts w:ascii="宋体" w:hAnsi="Times New Roman"/>
      <w:kern w:val="0"/>
    </w:rPr>
  </w:style>
  <w:style w:type="paragraph" w:customStyle="1" w:styleId="235">
    <w:name w:val="章标题"/>
    <w:basedOn w:val="1"/>
    <w:next w:val="234"/>
    <w:qFormat/>
    <w:uiPriority w:val="0"/>
    <w:pPr>
      <w:widowControl/>
      <w:adjustRightInd/>
      <w:spacing w:beforeLines="100" w:afterLines="100" w:line="240" w:lineRule="auto"/>
      <w:outlineLvl w:val="1"/>
    </w:pPr>
    <w:rPr>
      <w:rFonts w:ascii="黑体" w:hAnsi="Times New Roman" w:eastAsia="黑体"/>
      <w:kern w:val="0"/>
    </w:rPr>
  </w:style>
  <w:style w:type="paragraph" w:customStyle="1" w:styleId="236">
    <w:name w:val="一级条标题"/>
    <w:basedOn w:val="1"/>
    <w:next w:val="234"/>
    <w:qFormat/>
    <w:uiPriority w:val="0"/>
    <w:pPr>
      <w:widowControl/>
      <w:adjustRightInd/>
      <w:spacing w:beforeLines="50" w:afterLines="50" w:line="240" w:lineRule="auto"/>
      <w:ind w:left="992"/>
      <w:jc w:val="left"/>
      <w:outlineLvl w:val="2"/>
    </w:pPr>
    <w:rPr>
      <w:rFonts w:ascii="黑体" w:hAnsi="Times New Roman" w:eastAsia="黑体"/>
      <w:kern w:val="0"/>
    </w:rPr>
  </w:style>
  <w:style w:type="paragraph" w:customStyle="1" w:styleId="237">
    <w:name w:val="二级条标题"/>
    <w:basedOn w:val="236"/>
    <w:next w:val="234"/>
    <w:qFormat/>
    <w:uiPriority w:val="0"/>
    <w:pPr>
      <w:ind w:left="0"/>
      <w:outlineLvl w:val="3"/>
    </w:pPr>
  </w:style>
  <w:style w:type="character" w:customStyle="1" w:styleId="238">
    <w:name w:val="段 Char"/>
    <w:link w:val="234"/>
    <w:qFormat/>
    <w:uiPriority w:val="0"/>
    <w:rPr>
      <w:rFonts w:ascii="宋体" w:hAnsi="Times New Roman"/>
      <w:sz w:val="21"/>
      <w:szCs w:val="21"/>
    </w:rPr>
  </w:style>
  <w:style w:type="paragraph" w:customStyle="1" w:styleId="239">
    <w:name w:val="四级条标题"/>
    <w:basedOn w:val="1"/>
    <w:next w:val="234"/>
    <w:qFormat/>
    <w:uiPriority w:val="0"/>
    <w:pPr>
      <w:widowControl/>
      <w:adjustRightInd/>
      <w:spacing w:before="50" w:beforeLines="50" w:after="50" w:afterLines="50" w:line="240" w:lineRule="auto"/>
      <w:jc w:val="left"/>
      <w:outlineLvl w:val="5"/>
    </w:pPr>
    <w:rPr>
      <w:rFonts w:ascii="黑体" w:hAnsi="Times New Roman" w:eastAsia="黑体"/>
      <w:kern w:val="0"/>
    </w:rPr>
  </w:style>
  <w:style w:type="paragraph" w:customStyle="1" w:styleId="240">
    <w:name w:val="五级条标题"/>
    <w:basedOn w:val="239"/>
    <w:next w:val="234"/>
    <w:qFormat/>
    <w:uiPriority w:val="0"/>
    <w:pPr>
      <w:outlineLvl w:val="6"/>
    </w:pPr>
  </w:style>
  <w:style w:type="paragraph" w:customStyle="1" w:styleId="241">
    <w:name w:val="正文图标题"/>
    <w:next w:val="234"/>
    <w:qFormat/>
    <w:uiPriority w:val="0"/>
    <w:pPr>
      <w:numPr>
        <w:ilvl w:val="0"/>
        <w:numId w:val="32"/>
      </w:numPr>
      <w:spacing w:before="156" w:beforeLines="50" w:after="156" w:afterLines="50"/>
      <w:jc w:val="center"/>
    </w:pPr>
    <w:rPr>
      <w:rFonts w:ascii="黑体" w:hAnsi="Times New Roman" w:eastAsia="黑体" w:cs="Times New Roman"/>
      <w:sz w:val="21"/>
      <w:lang w:val="en-US" w:eastAsia="zh-CN" w:bidi="ar-SA"/>
    </w:rPr>
  </w:style>
  <w:style w:type="character" w:customStyle="1" w:styleId="242">
    <w:name w:val="批注文字 字符"/>
    <w:basedOn w:val="30"/>
    <w:link w:val="13"/>
    <w:semiHidden/>
    <w:qFormat/>
    <w:uiPriority w:val="99"/>
    <w:rPr>
      <w:kern w:val="2"/>
      <w:sz w:val="21"/>
      <w:szCs w:val="21"/>
    </w:rPr>
  </w:style>
  <w:style w:type="character" w:customStyle="1" w:styleId="243">
    <w:name w:val="批注主题 字符"/>
    <w:basedOn w:val="242"/>
    <w:link w:val="27"/>
    <w:semiHidden/>
    <w:qFormat/>
    <w:uiPriority w:val="99"/>
    <w:rPr>
      <w:b/>
      <w:bCs/>
      <w:kern w:val="2"/>
      <w:sz w:val="21"/>
      <w:szCs w:val="21"/>
    </w:rPr>
  </w:style>
  <w:style w:type="paragraph" w:customStyle="1" w:styleId="244">
    <w:name w:val="修订1"/>
    <w:hidden/>
    <w:semiHidden/>
    <w:qFormat/>
    <w:uiPriority w:val="99"/>
    <w:rPr>
      <w:rFonts w:ascii="Calibri" w:hAnsi="Calibri" w:eastAsia="宋体" w:cs="Times New Roman"/>
      <w:kern w:val="2"/>
      <w:sz w:val="21"/>
      <w:szCs w:val="21"/>
      <w:lang w:val="en-US" w:eastAsia="zh-CN" w:bidi="ar-SA"/>
    </w:rPr>
  </w:style>
  <w:style w:type="paragraph" w:customStyle="1" w:styleId="245">
    <w:name w:val="Revision"/>
    <w:hidden/>
    <w:semiHidden/>
    <w:uiPriority w:val="99"/>
    <w:rPr>
      <w:rFonts w:ascii="Calibri" w:hAnsi="Calibri"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1" Type="http://schemas.openxmlformats.org/officeDocument/2006/relationships/glossaryDocument" Target="glossary/document.xml"/><Relationship Id="rId50" Type="http://schemas.openxmlformats.org/officeDocument/2006/relationships/fontTable" Target="fontTable.xml"/><Relationship Id="rId5" Type="http://schemas.openxmlformats.org/officeDocument/2006/relationships/header" Target="header1.xml"/><Relationship Id="rId49" Type="http://schemas.openxmlformats.org/officeDocument/2006/relationships/customXml" Target="../customXml/item2.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29.jpeg"/><Relationship Id="rId45" Type="http://schemas.openxmlformats.org/officeDocument/2006/relationships/image" Target="media/image28.png"/><Relationship Id="rId44" Type="http://schemas.openxmlformats.org/officeDocument/2006/relationships/image" Target="media/image27.emf"/><Relationship Id="rId43" Type="http://schemas.openxmlformats.org/officeDocument/2006/relationships/image" Target="media/image26.emf"/><Relationship Id="rId42" Type="http://schemas.openxmlformats.org/officeDocument/2006/relationships/image" Target="media/image25.emf"/><Relationship Id="rId41" Type="http://schemas.openxmlformats.org/officeDocument/2006/relationships/image" Target="media/image24.emf"/><Relationship Id="rId40" Type="http://schemas.openxmlformats.org/officeDocument/2006/relationships/image" Target="media/image23.emf"/><Relationship Id="rId4" Type="http://schemas.openxmlformats.org/officeDocument/2006/relationships/endnotes" Target="endnotes.xml"/><Relationship Id="rId39" Type="http://schemas.openxmlformats.org/officeDocument/2006/relationships/image" Target="media/image22.emf"/><Relationship Id="rId38" Type="http://schemas.openxmlformats.org/officeDocument/2006/relationships/image" Target="media/image21.emf"/><Relationship Id="rId37" Type="http://schemas.openxmlformats.org/officeDocument/2006/relationships/image" Target="media/image20.emf"/><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emf"/><Relationship Id="rId25" Type="http://schemas.openxmlformats.org/officeDocument/2006/relationships/image" Target="media/image8.png"/><Relationship Id="rId24" Type="http://schemas.openxmlformats.org/officeDocument/2006/relationships/image" Target="media/image7.emf"/><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emf"/><Relationship Id="rId20" Type="http://schemas.openxmlformats.org/officeDocument/2006/relationships/image" Target="media/image3.emf"/><Relationship Id="rId2" Type="http://schemas.openxmlformats.org/officeDocument/2006/relationships/settings" Target="settings.xml"/><Relationship Id="rId19" Type="http://schemas.openxmlformats.org/officeDocument/2006/relationships/image" Target="media/image2.emf"/><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9.xml"/><Relationship Id="rId15" Type="http://schemas.openxmlformats.org/officeDocument/2006/relationships/footer" Target="footer8.xml"/><Relationship Id="rId14" Type="http://schemas.openxmlformats.org/officeDocument/2006/relationships/footer" Target="footer7.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73343C71AD99490C81C797793649E883"/>
        <w:style w:val=""/>
        <w:category>
          <w:name w:val="常规"/>
          <w:gallery w:val="placeholder"/>
        </w:category>
        <w:types>
          <w:type w:val="bbPlcHdr"/>
        </w:types>
        <w:behaviors>
          <w:behavior w:val="content"/>
        </w:behaviors>
        <w:description w:val=""/>
        <w:guid w:val="{74731404-5664-4DC6-8F1A-4165DF0509C2}"/>
      </w:docPartPr>
      <w:docPartBody>
        <w:p>
          <w:pPr>
            <w:pStyle w:val="5"/>
          </w:pPr>
          <w:r>
            <w:rPr>
              <w:rStyle w:val="4"/>
              <w:rFonts w:hint="eastAsia"/>
            </w:rPr>
            <w:t>单击或点击此处输入文字。</w:t>
          </w:r>
        </w:p>
      </w:docPartBody>
    </w:docPart>
    <w:docPart>
      <w:docPartPr>
        <w:name w:val="EE6B9794AD1640EA9DBD414DAE61E224"/>
        <w:style w:val=""/>
        <w:category>
          <w:name w:val="常规"/>
          <w:gallery w:val="placeholder"/>
        </w:category>
        <w:types>
          <w:type w:val="bbPlcHdr"/>
        </w:types>
        <w:behaviors>
          <w:behavior w:val="content"/>
        </w:behaviors>
        <w:description w:val=""/>
        <w:guid w:val="{D88F123A-7AC9-42EA-8BFB-6A30CEA2C9D8}"/>
      </w:docPartPr>
      <w:docPartBody>
        <w:p>
          <w:pPr>
            <w:pStyle w:val="6"/>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3402"/>
    <w:rsid w:val="00003A75"/>
    <w:rsid w:val="00056D36"/>
    <w:rsid w:val="000868A9"/>
    <w:rsid w:val="001539D1"/>
    <w:rsid w:val="00201292"/>
    <w:rsid w:val="002027A0"/>
    <w:rsid w:val="002A6542"/>
    <w:rsid w:val="002B50E2"/>
    <w:rsid w:val="00315708"/>
    <w:rsid w:val="00396FF6"/>
    <w:rsid w:val="003A1071"/>
    <w:rsid w:val="00436FBC"/>
    <w:rsid w:val="004816BA"/>
    <w:rsid w:val="005D0CC2"/>
    <w:rsid w:val="005D7F07"/>
    <w:rsid w:val="006049D7"/>
    <w:rsid w:val="00633464"/>
    <w:rsid w:val="00634A78"/>
    <w:rsid w:val="00694333"/>
    <w:rsid w:val="0070718E"/>
    <w:rsid w:val="00721684"/>
    <w:rsid w:val="00780D89"/>
    <w:rsid w:val="007C0EA6"/>
    <w:rsid w:val="007F496E"/>
    <w:rsid w:val="008068CB"/>
    <w:rsid w:val="008346C7"/>
    <w:rsid w:val="00843402"/>
    <w:rsid w:val="008749AD"/>
    <w:rsid w:val="0088366D"/>
    <w:rsid w:val="00891F43"/>
    <w:rsid w:val="008A6ED3"/>
    <w:rsid w:val="00AB7C73"/>
    <w:rsid w:val="00BB7D0D"/>
    <w:rsid w:val="00BC1098"/>
    <w:rsid w:val="00BE0DE3"/>
    <w:rsid w:val="00C068D9"/>
    <w:rsid w:val="00C41E42"/>
    <w:rsid w:val="00C74B6A"/>
    <w:rsid w:val="00CE2AD1"/>
    <w:rsid w:val="00D038F0"/>
    <w:rsid w:val="00D0426E"/>
    <w:rsid w:val="00E25FBD"/>
    <w:rsid w:val="00E67F11"/>
    <w:rsid w:val="00E93D44"/>
    <w:rsid w:val="00F41C92"/>
    <w:rsid w:val="00F75E5E"/>
    <w:rsid w:val="00FA3A3E"/>
    <w:rsid w:val="00FD44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73343C71AD99490C81C797793649E883"/>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EE6B9794AD1640EA9DBD414DAE61E224"/>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B36725C-909D-467B-8621-418239CF42DB}">
  <ds:schemaRefs/>
</ds:datastoreItem>
</file>

<file path=docProps/app.xml><?xml version="1.0" encoding="utf-8"?>
<Properties xmlns="http://schemas.openxmlformats.org/officeDocument/2006/extended-properties" xmlns:vt="http://schemas.openxmlformats.org/officeDocument/2006/docPropsVTypes">
  <Template>团体标准.dotx</Template>
  <Company>PCMI</Company>
  <Pages>1</Pages>
  <Words>1598</Words>
  <Characters>9115</Characters>
  <Lines>75</Lines>
  <Paragraphs>21</Paragraphs>
  <TotalTime>2</TotalTime>
  <ScaleCrop>false</ScaleCrop>
  <LinksUpToDate>false</LinksUpToDate>
  <CharactersWithSpaces>10692</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2023-10-20T09:33:00Z</dcterms:created>
  <dc:creator>黄艳梅</dc:creator>
  <cp:lastModifiedBy>庄广土</cp:lastModifiedBy>
  <cp:lastPrinted>2021-02-02T08:22:00Z</cp:lastPrinted>
  <dcterms:modified xsi:type="dcterms:W3CDTF">2023-10-21T11:48:47Z</dcterms:modified>
  <dc:title>团体标准</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_KSOProductBuildMID">
    <vt:lpwstr>SVWMD6BW7RRQ05HGQAR8KLJF7NMMOAVR9U0XUJDBXFMRTQLTZIBRVCJUFS6TPC6RXOM6OOL9ZIX78LNJRUFTVF8P8RFMWMWB8SOORHB3D647E20308B2526BBCA9F5D6F8AE3BD5</vt:lpwstr>
  </property>
  <property fmtid="{D5CDD505-2E9C-101B-9397-08002B2CF9AE}" pid="15" name="_KSOProductBuildSID">
    <vt:lpwstr>4C9CB9EEE5A42EC3172E67242559A780</vt:lpwstr>
  </property>
  <property fmtid="{D5CDD505-2E9C-101B-9397-08002B2CF9AE}" pid="16" name="KSOProductBuildVer">
    <vt:lpwstr>2052-12.1.0.15712</vt:lpwstr>
  </property>
  <property fmtid="{D5CDD505-2E9C-101B-9397-08002B2CF9AE}" pid="17" name="ICV">
    <vt:lpwstr>B7C8C87EEDFB4D2BBD60D96470148761_12</vt:lpwstr>
  </property>
</Properties>
</file>